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240" w:lineRule="auto"/>
        <w:outlineLvl w:val="2"/>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val="uk-UA" w:eastAsia="ru-RU"/>
        </w:rPr>
        <w:tab/>
      </w:r>
      <w:r>
        <w:rPr>
          <w:rFonts w:ascii="Times New Roman" w:eastAsia="Times New Roman" w:hAnsi="Times New Roman" w:cs="Times New Roman"/>
          <w:b/>
          <w:bCs/>
          <w:color w:val="000000"/>
          <w:sz w:val="28"/>
          <w:szCs w:val="28"/>
          <w:lang w:val="uk-UA" w:eastAsia="ru-RU"/>
        </w:rPr>
        <w:tab/>
      </w:r>
      <w:r>
        <w:rPr>
          <w:rFonts w:ascii="Times New Roman" w:eastAsia="Times New Roman" w:hAnsi="Times New Roman" w:cs="Times New Roman"/>
          <w:b/>
          <w:bCs/>
          <w:color w:val="000000"/>
          <w:sz w:val="28"/>
          <w:szCs w:val="28"/>
          <w:lang w:val="uk-UA" w:eastAsia="ru-RU"/>
        </w:rPr>
        <w:tab/>
      </w:r>
      <w:r>
        <w:rPr>
          <w:rFonts w:ascii="Times New Roman" w:eastAsia="Times New Roman" w:hAnsi="Times New Roman" w:cs="Times New Roman"/>
          <w:b/>
          <w:bCs/>
          <w:color w:val="000000"/>
          <w:sz w:val="28"/>
          <w:szCs w:val="28"/>
          <w:lang w:val="en-US" w:eastAsia="ru-RU"/>
        </w:rPr>
        <w:t xml:space="preserve">                                          </w:t>
      </w:r>
      <w:r>
        <w:rPr>
          <w:rFonts w:ascii="Times New Roman" w:eastAsia="Times New Roman" w:hAnsi="Times New Roman" w:cs="Times New Roman"/>
          <w:b/>
          <w:bCs/>
          <w:color w:val="000000"/>
          <w:sz w:val="28"/>
          <w:szCs w:val="28"/>
          <w:lang w:val="uk-UA" w:eastAsia="ru-RU"/>
        </w:rPr>
        <w:tab/>
      </w:r>
      <w:r>
        <w:rPr>
          <w:rFonts w:ascii="Times New Roman" w:eastAsia="Times New Roman" w:hAnsi="Times New Roman" w:cs="Times New Roman"/>
          <w:b/>
          <w:bCs/>
          <w:color w:val="000000"/>
          <w:sz w:val="28"/>
          <w:szCs w:val="28"/>
          <w:lang w:val="uk-UA" w:eastAsia="ru-RU"/>
        </w:rPr>
        <w:tab/>
      </w:r>
      <w:r>
        <w:rPr>
          <w:rFonts w:ascii="Times New Roman" w:eastAsia="Times New Roman" w:hAnsi="Times New Roman" w:cs="Times New Roman"/>
          <w:b/>
          <w:bCs/>
          <w:color w:val="000000"/>
          <w:sz w:val="28"/>
          <w:szCs w:val="28"/>
          <w:lang w:val="uk-UA" w:eastAsia="ru-RU"/>
        </w:rPr>
        <w:tab/>
      </w:r>
    </w:p>
    <w:tbl>
      <w:tblPr>
        <w:tblpPr w:leftFromText="45" w:rightFromText="45" w:vertAnchor="text" w:tblpXSpec="right" w:tblpYSpec="center"/>
        <w:tblW w:w="2250" w:type="pct"/>
        <w:tblLook w:val="0000" w:firstRow="0" w:lastRow="0" w:firstColumn="0" w:lastColumn="0" w:noHBand="0" w:noVBand="0"/>
      </w:tblPr>
      <w:tblGrid>
        <w:gridCol w:w="4465"/>
      </w:tblGrid>
      <w:tr>
        <w:tc>
          <w:tcPr>
            <w:tcW w:w="5000" w:type="pct"/>
          </w:tcPr>
          <w:p>
            <w:pPr>
              <w:spacing w:before="100" w:beforeAutospacing="1" w:after="100" w:afterAutospacing="1" w:line="240" w:lineRule="auto"/>
              <w:rPr>
                <w:rFonts w:ascii="Times New Roman" w:eastAsia="Times New Roman" w:hAnsi="Times New Roman" w:cs="Times New Roman"/>
                <w:color w:val="000000"/>
                <w:sz w:val="16"/>
                <w:szCs w:val="16"/>
                <w:lang w:val="uk-UA" w:eastAsia="ru-RU"/>
              </w:rPr>
            </w:pPr>
            <w:r>
              <w:rPr>
                <w:rFonts w:ascii="Times New Roman" w:eastAsia="Times New Roman" w:hAnsi="Times New Roman" w:cs="Times New Roman"/>
                <w:color w:val="000000"/>
                <w:sz w:val="16"/>
                <w:szCs w:val="16"/>
                <w:lang w:val="uk-UA" w:eastAsia="ru-RU"/>
              </w:rPr>
              <w:t xml:space="preserve">Додаток 29 </w:t>
            </w:r>
            <w:r>
              <w:rPr>
                <w:rFonts w:ascii="Times New Roman" w:eastAsia="Times New Roman" w:hAnsi="Times New Roman" w:cs="Times New Roman"/>
                <w:color w:val="000000"/>
                <w:sz w:val="16"/>
                <w:szCs w:val="16"/>
                <w:lang w:val="uk-UA" w:eastAsia="ru-RU"/>
              </w:rPr>
              <w:br/>
              <w:t xml:space="preserve">до Положення про розкриття </w:t>
            </w:r>
            <w:r>
              <w:rPr>
                <w:rFonts w:ascii="Times New Roman" w:eastAsia="Times New Roman" w:hAnsi="Times New Roman" w:cs="Times New Roman"/>
                <w:color w:val="000000"/>
                <w:sz w:val="16"/>
                <w:szCs w:val="16"/>
                <w:lang w:val="uk-UA" w:eastAsia="ru-RU"/>
              </w:rPr>
              <w:br/>
              <w:t xml:space="preserve">інформації емітентами цінних паперів </w:t>
            </w:r>
            <w:r>
              <w:rPr>
                <w:rFonts w:ascii="Times New Roman" w:eastAsia="Times New Roman" w:hAnsi="Times New Roman" w:cs="Times New Roman"/>
                <w:color w:val="000000"/>
                <w:sz w:val="16"/>
                <w:szCs w:val="16"/>
                <w:lang w:val="uk-UA" w:eastAsia="ru-RU"/>
              </w:rPr>
              <w:br/>
              <w:t>(пункт 1 глави 3 розділу III)</w:t>
            </w:r>
          </w:p>
        </w:tc>
      </w:tr>
    </w:tbl>
    <w:p>
      <w:pPr>
        <w:spacing w:before="100" w:beforeAutospacing="1" w:after="100" w:afterAutospacing="1" w:line="240" w:lineRule="auto"/>
        <w:jc w:val="both"/>
        <w:rPr>
          <w:rFonts w:ascii="Times New Roman" w:eastAsia="Times New Roman" w:hAnsi="Times New Roman" w:cs="Times New Roman"/>
          <w:color w:val="000000"/>
          <w:sz w:val="16"/>
          <w:szCs w:val="16"/>
          <w:lang w:val="uk-UA" w:eastAsia="ru-RU"/>
        </w:rPr>
      </w:pPr>
      <w:r>
        <w:rPr>
          <w:rFonts w:ascii="Times New Roman" w:eastAsia="Times New Roman" w:hAnsi="Times New Roman" w:cs="Times New Roman"/>
          <w:color w:val="000000"/>
          <w:sz w:val="16"/>
          <w:szCs w:val="16"/>
          <w:lang w:val="uk-UA" w:eastAsia="ru-RU"/>
        </w:rPr>
        <w:br w:type="textWrapping" w:clear="all"/>
      </w:r>
    </w:p>
    <w:p>
      <w:pPr>
        <w:spacing w:after="0" w:line="240" w:lineRule="auto"/>
        <w:outlineLvl w:val="2"/>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t>Титульний аркуш</w:t>
      </w:r>
    </w:p>
    <w:p>
      <w:pPr>
        <w:spacing w:after="0" w:line="240" w:lineRule="auto"/>
        <w:outlineLvl w:val="2"/>
        <w:rPr>
          <w:rFonts w:ascii="Times New Roman" w:eastAsia="Times New Roman" w:hAnsi="Times New Roman" w:cs="Times New Roman"/>
          <w:b/>
          <w:bCs/>
          <w:color w:val="000000"/>
          <w:sz w:val="28"/>
          <w:szCs w:val="28"/>
          <w:lang w:eastAsia="ru-RU"/>
        </w:rPr>
      </w:pPr>
    </w:p>
    <w:p>
      <w:pPr>
        <w:spacing w:after="0" w:line="240" w:lineRule="auto"/>
        <w:outlineLvl w:val="2"/>
        <w:rPr>
          <w:rFonts w:ascii="Times New Roman" w:eastAsia="Times New Roman" w:hAnsi="Times New Roman" w:cs="Times New Roman"/>
          <w:bCs/>
          <w:color w:val="000000"/>
          <w:sz w:val="20"/>
          <w:szCs w:val="20"/>
          <w:u w:val="single"/>
          <w:lang w:eastAsia="ru-RU"/>
        </w:rPr>
      </w:pPr>
      <w:r>
        <w:rPr>
          <w:rFonts w:ascii="Times New Roman" w:eastAsia="Times New Roman" w:hAnsi="Times New Roman" w:cs="Times New Roman"/>
          <w:b/>
          <w:bCs/>
          <w:color w:val="000000"/>
          <w:sz w:val="28"/>
          <w:szCs w:val="28"/>
          <w:lang w:val="uk-UA" w:eastAsia="ru-RU"/>
        </w:rPr>
        <w:t xml:space="preserve">         </w:t>
      </w:r>
      <w:r>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0"/>
          <w:szCs w:val="20"/>
          <w:u w:val="single"/>
          <w:lang w:eastAsia="ru-RU"/>
        </w:rPr>
        <w:t>27.01.2022</w:t>
      </w:r>
    </w:p>
    <w:p>
      <w:pPr>
        <w:spacing w:after="0" w:line="240" w:lineRule="auto"/>
        <w:outlineLvl w:val="2"/>
        <w:rPr>
          <w:rFonts w:ascii="Times New Roman" w:eastAsia="Times New Roman" w:hAnsi="Times New Roman" w:cs="Times New Roman"/>
          <w:bCs/>
          <w:color w:val="000000"/>
          <w:sz w:val="16"/>
          <w:szCs w:val="16"/>
          <w:lang w:val="uk-UA" w:eastAsia="ru-RU"/>
        </w:rPr>
      </w:pPr>
      <w:r>
        <w:rPr>
          <w:rFonts w:ascii="Times New Roman" w:eastAsia="Times New Roman" w:hAnsi="Times New Roman" w:cs="Times New Roman"/>
          <w:b/>
          <w:bCs/>
          <w:color w:val="000000"/>
          <w:sz w:val="20"/>
          <w:szCs w:val="20"/>
          <w:lang w:eastAsia="ru-RU"/>
        </w:rPr>
        <w:t xml:space="preserve">            </w:t>
      </w:r>
      <w:r>
        <w:rPr>
          <w:rFonts w:ascii="Times New Roman" w:eastAsia="Times New Roman" w:hAnsi="Times New Roman" w:cs="Times New Roman"/>
          <w:b/>
          <w:bCs/>
          <w:color w:val="000000"/>
          <w:sz w:val="20"/>
          <w:szCs w:val="20"/>
          <w:lang w:val="uk-UA" w:eastAsia="ru-RU"/>
        </w:rPr>
        <w:t xml:space="preserve"> (</w:t>
      </w:r>
      <w:r>
        <w:rPr>
          <w:rFonts w:ascii="Times New Roman" w:eastAsia="Times New Roman" w:hAnsi="Times New Roman" w:cs="Times New Roman"/>
          <w:bCs/>
          <w:color w:val="000000"/>
          <w:sz w:val="16"/>
          <w:szCs w:val="16"/>
          <w:lang w:val="uk-UA" w:eastAsia="ru-RU"/>
        </w:rPr>
        <w:t xml:space="preserve">дата реєстрації емітентом </w:t>
      </w:r>
      <w:r>
        <w:rPr>
          <w:rFonts w:ascii="Times New Roman" w:eastAsia="Times New Roman" w:hAnsi="Times New Roman" w:cs="Times New Roman"/>
          <w:bCs/>
          <w:color w:val="000000"/>
          <w:sz w:val="16"/>
          <w:szCs w:val="16"/>
          <w:lang w:val="uk-UA" w:eastAsia="ru-RU"/>
        </w:rPr>
        <w:br/>
        <w:t xml:space="preserve">                  електронного документа)</w:t>
      </w:r>
    </w:p>
    <w:p>
      <w:pPr>
        <w:spacing w:after="0" w:line="240" w:lineRule="auto"/>
        <w:outlineLvl w:val="2"/>
        <w:rPr>
          <w:rFonts w:ascii="Times New Roman" w:eastAsia="Times New Roman" w:hAnsi="Times New Roman" w:cs="Times New Roman"/>
          <w:bCs/>
          <w:color w:val="000000"/>
          <w:sz w:val="16"/>
          <w:szCs w:val="16"/>
          <w:lang w:val="uk-UA" w:eastAsia="ru-RU"/>
        </w:rPr>
      </w:pPr>
    </w:p>
    <w:p>
      <w:pPr>
        <w:spacing w:after="0" w:line="240" w:lineRule="auto"/>
        <w:outlineLvl w:val="2"/>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 xml:space="preserve">               </w:t>
      </w:r>
      <w:r>
        <w:rPr>
          <w:rFonts w:ascii="Times New Roman" w:eastAsia="Times New Roman" w:hAnsi="Times New Roman" w:cs="Times New Roman"/>
          <w:bCs/>
          <w:color w:val="000000"/>
          <w:sz w:val="16"/>
          <w:szCs w:val="16"/>
          <w:lang w:val="uk-UA" w:eastAsia="ru-RU"/>
        </w:rPr>
        <w:t xml:space="preserve">№ </w:t>
      </w:r>
      <w:r>
        <w:rPr>
          <w:rFonts w:ascii="Times New Roman" w:eastAsia="Times New Roman" w:hAnsi="Times New Roman" w:cs="Times New Roman"/>
          <w:b/>
          <w:bCs/>
          <w:color w:val="000000"/>
          <w:sz w:val="20"/>
          <w:szCs w:val="20"/>
          <w:u w:val="single"/>
          <w:lang w:eastAsia="ru-RU"/>
        </w:rPr>
        <w:t>4000211/61</w:t>
      </w:r>
    </w:p>
    <w:p>
      <w:pPr>
        <w:spacing w:after="0" w:line="240" w:lineRule="auto"/>
        <w:outlineLvl w:val="2"/>
        <w:rPr>
          <w:rFonts w:ascii="Times New Roman" w:eastAsia="Times New Roman" w:hAnsi="Times New Roman" w:cs="Times New Roman"/>
          <w:bCs/>
          <w:color w:val="000000"/>
          <w:sz w:val="16"/>
          <w:szCs w:val="16"/>
          <w:lang w:val="uk-UA" w:eastAsia="ru-RU"/>
        </w:rPr>
      </w:pPr>
      <w:r>
        <w:rPr>
          <w:rFonts w:ascii="Times New Roman" w:eastAsia="Times New Roman" w:hAnsi="Times New Roman" w:cs="Times New Roman"/>
          <w:bCs/>
          <w:color w:val="000000"/>
          <w:sz w:val="16"/>
          <w:szCs w:val="16"/>
          <w:lang w:eastAsia="ru-RU"/>
        </w:rPr>
        <w:t xml:space="preserve">                  </w:t>
      </w:r>
      <w:r>
        <w:rPr>
          <w:rFonts w:ascii="Times New Roman" w:eastAsia="Times New Roman" w:hAnsi="Times New Roman" w:cs="Times New Roman"/>
          <w:bCs/>
          <w:color w:val="000000"/>
          <w:sz w:val="16"/>
          <w:szCs w:val="16"/>
          <w:lang w:val="uk-UA" w:eastAsia="ru-RU"/>
        </w:rPr>
        <w:t>вихідний реєстраційний</w:t>
      </w:r>
      <w:r>
        <w:rPr>
          <w:rFonts w:ascii="Times New Roman" w:eastAsia="Times New Roman" w:hAnsi="Times New Roman" w:cs="Times New Roman"/>
          <w:bCs/>
          <w:color w:val="000000"/>
          <w:sz w:val="16"/>
          <w:szCs w:val="16"/>
          <w:lang w:val="uk-UA" w:eastAsia="ru-RU"/>
        </w:rPr>
        <w:br/>
        <w:t xml:space="preserve">                  номер електронного документа)</w:t>
      </w:r>
    </w:p>
    <w:p>
      <w:pPr>
        <w:spacing w:after="0" w:line="240" w:lineRule="auto"/>
        <w:outlineLvl w:val="2"/>
        <w:rPr>
          <w:rFonts w:ascii="Times New Roman" w:eastAsia="Times New Roman" w:hAnsi="Times New Roman" w:cs="Times New Roman"/>
          <w:b/>
          <w:bCs/>
          <w:color w:val="000000"/>
          <w:sz w:val="28"/>
          <w:szCs w:val="28"/>
          <w:lang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9761"/>
      </w:tblGrid>
      <w:tr>
        <w:tc>
          <w:tcPr>
            <w:tcW w:w="5000" w:type="pct"/>
            <w:tcBorders>
              <w:top w:val="nil"/>
              <w:left w:val="nil"/>
              <w:bottom w:val="nil"/>
              <w:right w:val="nil"/>
            </w:tcBorders>
            <w:tcMar>
              <w:top w:w="60" w:type="dxa"/>
              <w:left w:w="60" w:type="dxa"/>
              <w:bottom w:w="60" w:type="dxa"/>
              <w:right w:w="60" w:type="dxa"/>
            </w:tcMar>
            <w:vAlign w:val="center"/>
          </w:tcPr>
          <w:p>
            <w:pPr>
              <w:spacing w:before="100" w:beforeAutospacing="1" w:after="100" w:afterAutospacing="1" w:line="240" w:lineRule="auto"/>
              <w:jc w:val="both"/>
              <w:rPr>
                <w:rFonts w:ascii="Times New Roman" w:eastAsia="Times New Roman" w:hAnsi="Times New Roman" w:cs="Times New Roman"/>
                <w:i/>
                <w:color w:val="000000"/>
                <w:sz w:val="18"/>
                <w:szCs w:val="18"/>
                <w:lang w:val="uk-UA" w:eastAsia="ru-RU"/>
              </w:rPr>
            </w:pPr>
            <w:r>
              <w:rPr>
                <w:rFonts w:ascii="Times New Roman" w:eastAsia="Times New Roman" w:hAnsi="Times New Roman" w:cs="Times New Roman"/>
                <w:color w:val="000000"/>
                <w:sz w:val="18"/>
                <w:szCs w:val="18"/>
                <w:lang w:val="uk-UA" w:eastAsia="ru-RU"/>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w:t>
            </w:r>
          </w:p>
        </w:tc>
      </w:tr>
    </w:tbl>
    <w:p>
      <w:pPr>
        <w:spacing w:after="0" w:line="240" w:lineRule="auto"/>
        <w:rPr>
          <w:rFonts w:ascii="Times New Roman" w:eastAsia="Times New Roman" w:hAnsi="Times New Roman" w:cs="Times New Roman"/>
          <w:vanish/>
          <w:color w:val="000000"/>
          <w:sz w:val="24"/>
          <w:szCs w:val="24"/>
          <w:lang w:eastAsia="ru-RU"/>
        </w:rPr>
      </w:pPr>
    </w:p>
    <w:tbl>
      <w:tblPr>
        <w:tblW w:w="4919" w:type="pct"/>
        <w:tblLayout w:type="fixed"/>
        <w:tblCellMar>
          <w:top w:w="15" w:type="dxa"/>
          <w:left w:w="15" w:type="dxa"/>
          <w:bottom w:w="15" w:type="dxa"/>
          <w:right w:w="15" w:type="dxa"/>
        </w:tblCellMar>
        <w:tblLook w:val="04A0" w:firstRow="1" w:lastRow="0" w:firstColumn="1" w:lastColumn="0" w:noHBand="0" w:noVBand="1"/>
      </w:tblPr>
      <w:tblGrid>
        <w:gridCol w:w="1588"/>
        <w:gridCol w:w="183"/>
        <w:gridCol w:w="3597"/>
        <w:gridCol w:w="183"/>
        <w:gridCol w:w="4210"/>
      </w:tblGrid>
      <w:tr>
        <w:tc>
          <w:tcPr>
            <w:tcW w:w="1562"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color w:val="000000"/>
                <w:sz w:val="24"/>
                <w:szCs w:val="24"/>
                <w:lang w:val="en-US" w:eastAsia="ru-RU"/>
              </w:rPr>
            </w:pPr>
            <w:r>
              <w:rPr>
                <w:rFonts w:ascii="Times New Roman" w:eastAsia="Times New Roman" w:hAnsi="Times New Roman" w:cs="Times New Roman"/>
                <w:b/>
                <w:color w:val="000000"/>
                <w:sz w:val="24"/>
                <w:szCs w:val="24"/>
                <w:lang w:val="en-US" w:eastAsia="ru-RU"/>
              </w:rPr>
              <w:t>Генеральний директор</w:t>
            </w:r>
          </w:p>
        </w:tc>
        <w:tc>
          <w:tcPr>
            <w:tcW w:w="180"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w:t>
            </w:r>
          </w:p>
        </w:tc>
        <w:tc>
          <w:tcPr>
            <w:tcW w:w="3538"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w:t>
            </w:r>
          </w:p>
        </w:tc>
        <w:tc>
          <w:tcPr>
            <w:tcW w:w="180"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w:t>
            </w:r>
          </w:p>
        </w:tc>
        <w:tc>
          <w:tcPr>
            <w:tcW w:w="4141" w:type="dxa"/>
            <w:tcMar>
              <w:top w:w="60" w:type="dxa"/>
              <w:left w:w="60" w:type="dxa"/>
              <w:bottom w:w="60" w:type="dxa"/>
              <w:right w:w="60" w:type="dxa"/>
            </w:tcMar>
            <w:vAlign w:val="bottom"/>
          </w:tcPr>
          <w:p>
            <w:pPr>
              <w:spacing w:after="0" w:line="240" w:lineRule="auto"/>
              <w:ind w:left="1280" w:hanging="591"/>
              <w:jc w:val="center"/>
              <w:rPr>
                <w:rFonts w:ascii="Times New Roman" w:eastAsia="Times New Roman" w:hAnsi="Times New Roman" w:cs="Times New Roman"/>
                <w:b/>
                <w:color w:val="000000"/>
                <w:sz w:val="24"/>
                <w:szCs w:val="24"/>
                <w:lang w:val="en-US" w:eastAsia="ru-RU"/>
              </w:rPr>
            </w:pPr>
            <w:r>
              <w:rPr>
                <w:rFonts w:ascii="Times New Roman" w:eastAsia="Times New Roman" w:hAnsi="Times New Roman" w:cs="Times New Roman"/>
                <w:b/>
                <w:color w:val="000000"/>
                <w:sz w:val="24"/>
                <w:szCs w:val="24"/>
                <w:lang w:val="en-US" w:eastAsia="ru-RU"/>
              </w:rPr>
              <w:t>Хайдакiн Олег Iгорович</w:t>
            </w:r>
          </w:p>
        </w:tc>
      </w:tr>
      <w:tr>
        <w:tc>
          <w:tcPr>
            <w:tcW w:w="1562"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0"/>
                <w:szCs w:val="20"/>
                <w:lang w:eastAsia="ru-RU"/>
              </w:rPr>
              <w:t>(посада)</w:t>
            </w:r>
          </w:p>
        </w:tc>
        <w:tc>
          <w:tcPr>
            <w:tcW w:w="180"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c>
        <w:tc>
          <w:tcPr>
            <w:tcW w:w="3538"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0"/>
                <w:szCs w:val="20"/>
                <w:lang w:eastAsia="ru-RU"/>
              </w:rPr>
              <w:t>(підпис)</w:t>
            </w:r>
          </w:p>
        </w:tc>
        <w:tc>
          <w:tcPr>
            <w:tcW w:w="180"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c>
        <w:tc>
          <w:tcPr>
            <w:tcW w:w="4141"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0"/>
                <w:szCs w:val="20"/>
                <w:lang w:eastAsia="ru-RU"/>
              </w:rPr>
              <w:t>(прізвище та ініціали керівника або уповноваженої особи емітента)</w:t>
            </w:r>
          </w:p>
        </w:tc>
      </w:tr>
      <w:tr>
        <w:tc>
          <w:tcPr>
            <w:tcW w:w="5460" w:type="dxa"/>
            <w:gridSpan w:val="4"/>
            <w:vMerge w:val="restart"/>
            <w:tcMar>
              <w:top w:w="300" w:type="dxa"/>
              <w:left w:w="60" w:type="dxa"/>
              <w:bottom w:w="60" w:type="dxa"/>
              <w:right w:w="60" w:type="dxa"/>
            </w:tcMar>
            <w:vAlign w:val="center"/>
          </w:tcPr>
          <w:p>
            <w:pPr>
              <w:spacing w:after="0" w:line="240" w:lineRule="auto"/>
              <w:jc w:val="center"/>
              <w:rPr>
                <w:rFonts w:ascii="Times New Roman" w:eastAsia="Times New Roman" w:hAnsi="Times New Roman" w:cs="Times New Roman"/>
                <w:color w:val="000000"/>
                <w:sz w:val="24"/>
                <w:szCs w:val="24"/>
                <w:lang w:eastAsia="ru-RU"/>
              </w:rPr>
            </w:pPr>
          </w:p>
        </w:tc>
        <w:tc>
          <w:tcPr>
            <w:tcW w:w="4141"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color w:val="000000"/>
                <w:sz w:val="24"/>
                <w:szCs w:val="24"/>
                <w:lang w:eastAsia="ru-RU"/>
              </w:rPr>
            </w:pPr>
          </w:p>
        </w:tc>
      </w:tr>
      <w:tr>
        <w:tc>
          <w:tcPr>
            <w:tcW w:w="5460" w:type="dxa"/>
            <w:gridSpan w:val="4"/>
            <w:vMerge/>
            <w:vAlign w:val="center"/>
          </w:tcPr>
          <w:p>
            <w:pPr>
              <w:spacing w:after="0" w:line="240" w:lineRule="auto"/>
              <w:rPr>
                <w:rFonts w:ascii="Times New Roman" w:eastAsia="Times New Roman" w:hAnsi="Times New Roman" w:cs="Times New Roman"/>
                <w:color w:val="000000"/>
                <w:sz w:val="24"/>
                <w:szCs w:val="24"/>
                <w:lang w:eastAsia="ru-RU"/>
              </w:rPr>
            </w:pPr>
          </w:p>
        </w:tc>
        <w:tc>
          <w:tcPr>
            <w:tcW w:w="4141"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color w:val="000000"/>
                <w:sz w:val="24"/>
                <w:szCs w:val="24"/>
                <w:lang w:eastAsia="ru-RU"/>
              </w:rPr>
            </w:pPr>
          </w:p>
        </w:tc>
      </w:tr>
      <w:tr>
        <w:tc>
          <w:tcPr>
            <w:tcW w:w="9601" w:type="dxa"/>
            <w:gridSpan w:val="5"/>
            <w:tcMar>
              <w:top w:w="60" w:type="dxa"/>
              <w:left w:w="60" w:type="dxa"/>
              <w:bottom w:w="60" w:type="dxa"/>
              <w:right w:w="60" w:type="dxa"/>
            </w:tcMar>
            <w:vAlign w:val="center"/>
          </w:tcPr>
          <w:p>
            <w:pPr>
              <w:spacing w:before="100" w:beforeAutospacing="1" w:after="100" w:afterAutospacing="1" w:line="240" w:lineRule="auto"/>
              <w:jc w:val="center"/>
              <w:rPr>
                <w:rFonts w:ascii="Times New Roman" w:eastAsia="Times New Roman" w:hAnsi="Times New Roman" w:cs="Times New Roman"/>
                <w:b/>
                <w:bCs/>
                <w:color w:val="000000"/>
                <w:sz w:val="24"/>
                <w:szCs w:val="24"/>
                <w:lang w:val="uk-UA" w:eastAsia="ru-RU"/>
              </w:rPr>
            </w:pPr>
            <w:r>
              <w:rPr>
                <w:rFonts w:ascii="Times New Roman" w:eastAsia="Times New Roman" w:hAnsi="Times New Roman" w:cs="Times New Roman"/>
                <w:b/>
                <w:bCs/>
                <w:color w:val="000000"/>
                <w:sz w:val="24"/>
                <w:szCs w:val="24"/>
                <w:lang w:val="uk-UA" w:eastAsia="ru-RU"/>
              </w:rPr>
              <w:t>Проміжна</w:t>
            </w:r>
            <w:r>
              <w:rPr>
                <w:rFonts w:ascii="Times New Roman" w:eastAsia="Times New Roman" w:hAnsi="Times New Roman" w:cs="Times New Roman"/>
                <w:b/>
                <w:bCs/>
                <w:color w:val="000000"/>
                <w:sz w:val="24"/>
                <w:szCs w:val="24"/>
                <w:lang w:eastAsia="ru-RU"/>
              </w:rPr>
              <w:t xml:space="preserve"> інформація емітента цінних паперів</w:t>
            </w:r>
            <w:r>
              <w:rPr>
                <w:rFonts w:ascii="Times New Roman" w:eastAsia="Times New Roman" w:hAnsi="Times New Roman" w:cs="Times New Roman"/>
                <w:b/>
                <w:bCs/>
                <w:color w:val="000000"/>
                <w:sz w:val="24"/>
                <w:szCs w:val="24"/>
                <w:lang w:eastAsia="ru-RU"/>
              </w:rPr>
              <w:br/>
              <w:t>за</w:t>
            </w:r>
            <w:r>
              <w:rPr>
                <w:rFonts w:ascii="Times New Roman" w:eastAsia="Times New Roman" w:hAnsi="Times New Roman" w:cs="Times New Roman"/>
                <w:b/>
                <w:bCs/>
                <w:color w:val="000000"/>
                <w:sz w:val="24"/>
                <w:szCs w:val="24"/>
                <w:lang w:val="uk-UA" w:eastAsia="ru-RU"/>
              </w:rPr>
              <w:t xml:space="preserve"> 4 квартал </w:t>
            </w:r>
            <w:r>
              <w:rPr>
                <w:rFonts w:ascii="Times New Roman" w:eastAsia="Times New Roman" w:hAnsi="Times New Roman" w:cs="Times New Roman"/>
                <w:b/>
                <w:bCs/>
                <w:color w:val="000000"/>
                <w:sz w:val="24"/>
                <w:szCs w:val="24"/>
                <w:lang w:eastAsia="ru-RU"/>
              </w:rPr>
              <w:t xml:space="preserve"> 2021 р</w:t>
            </w:r>
            <w:r>
              <w:rPr>
                <w:rFonts w:ascii="Times New Roman" w:eastAsia="Times New Roman" w:hAnsi="Times New Roman" w:cs="Times New Roman"/>
                <w:b/>
                <w:bCs/>
                <w:color w:val="000000"/>
                <w:sz w:val="24"/>
                <w:szCs w:val="24"/>
                <w:lang w:val="uk-UA" w:eastAsia="ru-RU"/>
              </w:rPr>
              <w:t>о</w:t>
            </w:r>
            <w:r>
              <w:rPr>
                <w:rFonts w:ascii="Times New Roman" w:eastAsia="Times New Roman" w:hAnsi="Times New Roman" w:cs="Times New Roman"/>
                <w:b/>
                <w:bCs/>
                <w:color w:val="000000"/>
                <w:sz w:val="24"/>
                <w:szCs w:val="24"/>
                <w:lang w:eastAsia="ru-RU"/>
              </w:rPr>
              <w:t>к</w:t>
            </w:r>
            <w:r>
              <w:rPr>
                <w:rFonts w:ascii="Times New Roman" w:eastAsia="Times New Roman" w:hAnsi="Times New Roman" w:cs="Times New Roman"/>
                <w:b/>
                <w:bCs/>
                <w:color w:val="000000"/>
                <w:sz w:val="24"/>
                <w:szCs w:val="24"/>
                <w:lang w:val="uk-UA" w:eastAsia="ru-RU"/>
              </w:rPr>
              <w:t>у</w:t>
            </w:r>
          </w:p>
        </w:tc>
      </w:tr>
    </w:tbl>
    <w:p>
      <w:pPr>
        <w:spacing w:after="0" w:line="240" w:lineRule="auto"/>
        <w:rPr>
          <w:rFonts w:ascii="Times New Roman" w:eastAsia="Times New Roman" w:hAnsi="Times New Roman" w:cs="Times New Roman"/>
          <w:vanish/>
          <w:color w:val="000000"/>
          <w:sz w:val="24"/>
          <w:szCs w:val="24"/>
          <w:lang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4260"/>
        <w:gridCol w:w="5501"/>
      </w:tblGrid>
      <w:tr>
        <w:tc>
          <w:tcPr>
            <w:tcW w:w="5000" w:type="pct"/>
            <w:gridSpan w:val="2"/>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val="en-US" w:eastAsia="ru-RU"/>
              </w:rPr>
              <w:t>I</w:t>
            </w:r>
            <w:r>
              <w:rPr>
                <w:rFonts w:ascii="Times New Roman" w:eastAsia="Times New Roman" w:hAnsi="Times New Roman" w:cs="Times New Roman"/>
                <w:b/>
                <w:bCs/>
                <w:color w:val="000000"/>
                <w:sz w:val="20"/>
                <w:szCs w:val="20"/>
                <w:lang w:eastAsia="ru-RU"/>
              </w:rPr>
              <w:t>. Загальні відомості</w:t>
            </w:r>
          </w:p>
        </w:tc>
      </w:tr>
      <w:tr>
        <w:tc>
          <w:tcPr>
            <w:tcW w:w="2182" w:type="pct"/>
            <w:tcMar>
              <w:top w:w="60" w:type="dxa"/>
              <w:left w:w="60" w:type="dxa"/>
              <w:bottom w:w="60" w:type="dxa"/>
              <w:right w:w="60" w:type="dxa"/>
            </w:tcMar>
            <w:vAlign w:val="center"/>
          </w:tcPr>
          <w:p>
            <w:pPr>
              <w:spacing w:after="0" w:line="240" w:lineRule="auto"/>
              <w:rPr>
                <w:rFonts w:ascii="Times New Roman" w:eastAsia="Times New Roman" w:hAnsi="Times New Roman" w:cs="Times New Roman"/>
                <w:b/>
                <w:color w:val="000000"/>
                <w:sz w:val="20"/>
                <w:szCs w:val="20"/>
                <w:lang w:val="uk-UA" w:eastAsia="ru-RU"/>
              </w:rPr>
            </w:pPr>
            <w:r>
              <w:rPr>
                <w:rFonts w:ascii="Times New Roman" w:eastAsia="Times New Roman" w:hAnsi="Times New Roman" w:cs="Times New Roman"/>
                <w:b/>
                <w:color w:val="000000"/>
                <w:sz w:val="20"/>
                <w:szCs w:val="20"/>
                <w:lang w:eastAsia="ru-RU"/>
              </w:rPr>
              <w:t>1. Повне найменування емітента</w:t>
            </w:r>
            <w:r>
              <w:rPr>
                <w:rFonts w:ascii="Times New Roman" w:eastAsia="Times New Roman" w:hAnsi="Times New Roman" w:cs="Times New Roman"/>
                <w:b/>
                <w:color w:val="000000"/>
                <w:sz w:val="20"/>
                <w:szCs w:val="20"/>
                <w:lang w:val="uk-UA" w:eastAsia="ru-RU"/>
              </w:rPr>
              <w:t>.</w:t>
            </w:r>
          </w:p>
        </w:tc>
        <w:tc>
          <w:tcPr>
            <w:tcW w:w="2818" w:type="pct"/>
            <w:vAlign w:val="center"/>
          </w:tcPr>
          <w:p>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ПРИВАТНЕ АКЦIОНЕРНЕ ТОВАРИСТВО "КАРЛСБЕРГ УКРАЇНА"</w:t>
            </w:r>
          </w:p>
        </w:tc>
      </w:tr>
      <w:tr>
        <w:tc>
          <w:tcPr>
            <w:tcW w:w="2182" w:type="pct"/>
            <w:tcMar>
              <w:top w:w="60" w:type="dxa"/>
              <w:left w:w="60" w:type="dxa"/>
              <w:bottom w:w="60" w:type="dxa"/>
              <w:right w:w="60" w:type="dxa"/>
            </w:tcMar>
            <w:vAlign w:val="center"/>
          </w:tcPr>
          <w:p>
            <w:pPr>
              <w:spacing w:after="0" w:line="240" w:lineRule="auto"/>
              <w:rPr>
                <w:rFonts w:ascii="Times New Roman" w:eastAsia="Times New Roman" w:hAnsi="Times New Roman" w:cs="Times New Roman"/>
                <w:b/>
                <w:color w:val="000000"/>
                <w:sz w:val="20"/>
                <w:szCs w:val="20"/>
                <w:lang w:val="uk-UA" w:eastAsia="ru-RU"/>
              </w:rPr>
            </w:pPr>
            <w:r>
              <w:rPr>
                <w:rFonts w:ascii="Times New Roman" w:eastAsia="Times New Roman" w:hAnsi="Times New Roman" w:cs="Times New Roman"/>
                <w:b/>
                <w:color w:val="000000"/>
                <w:sz w:val="20"/>
                <w:szCs w:val="20"/>
                <w:lang w:eastAsia="ru-RU"/>
              </w:rPr>
              <w:t xml:space="preserve">2. Організаційно-правова форма </w:t>
            </w:r>
            <w:r>
              <w:rPr>
                <w:rFonts w:ascii="Times New Roman" w:eastAsia="Times New Roman" w:hAnsi="Times New Roman" w:cs="Times New Roman"/>
                <w:b/>
                <w:color w:val="000000"/>
                <w:sz w:val="20"/>
                <w:szCs w:val="20"/>
                <w:lang w:val="uk-UA" w:eastAsia="ru-RU"/>
              </w:rPr>
              <w:t>.</w:t>
            </w:r>
          </w:p>
        </w:tc>
        <w:tc>
          <w:tcPr>
            <w:tcW w:w="2818" w:type="pct"/>
            <w:vAlign w:val="center"/>
          </w:tcPr>
          <w:p>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Акцiонерне товариство</w:t>
            </w:r>
          </w:p>
        </w:tc>
      </w:tr>
      <w:tr>
        <w:tc>
          <w:tcPr>
            <w:tcW w:w="2182" w:type="pct"/>
            <w:tcMar>
              <w:top w:w="60" w:type="dxa"/>
              <w:left w:w="60" w:type="dxa"/>
              <w:bottom w:w="60" w:type="dxa"/>
              <w:right w:w="60" w:type="dxa"/>
            </w:tcMar>
            <w:vAlign w:val="center"/>
          </w:tcPr>
          <w:p>
            <w:pPr>
              <w:spacing w:after="0" w:line="240" w:lineRule="auto"/>
              <w:rPr>
                <w:rFonts w:ascii="Times New Roman" w:eastAsia="Times New Roman" w:hAnsi="Times New Roman" w:cs="Times New Roman"/>
                <w:b/>
                <w:color w:val="000000"/>
                <w:sz w:val="20"/>
                <w:szCs w:val="20"/>
                <w:lang w:val="uk-UA" w:eastAsia="ru-RU"/>
              </w:rPr>
            </w:pPr>
            <w:r>
              <w:rPr>
                <w:rFonts w:ascii="Times New Roman" w:eastAsia="Times New Roman" w:hAnsi="Times New Roman" w:cs="Times New Roman"/>
                <w:b/>
                <w:color w:val="000000"/>
                <w:sz w:val="20"/>
                <w:szCs w:val="20"/>
                <w:lang w:eastAsia="ru-RU"/>
              </w:rPr>
              <w:t xml:space="preserve">3. </w:t>
            </w:r>
            <w:r>
              <w:rPr>
                <w:rFonts w:ascii="Times New Roman" w:eastAsia="Times New Roman" w:hAnsi="Times New Roman" w:cs="Times New Roman"/>
                <w:b/>
                <w:sz w:val="20"/>
                <w:szCs w:val="20"/>
                <w:lang w:eastAsia="ru-RU"/>
              </w:rPr>
              <w:t>Ідентифікаційний код юридичної особи</w:t>
            </w:r>
            <w:r>
              <w:rPr>
                <w:rFonts w:ascii="Times New Roman" w:eastAsia="Times New Roman" w:hAnsi="Times New Roman" w:cs="Times New Roman"/>
                <w:b/>
                <w:sz w:val="20"/>
                <w:szCs w:val="20"/>
                <w:lang w:val="uk-UA" w:eastAsia="ru-RU"/>
              </w:rPr>
              <w:t>.</w:t>
            </w:r>
          </w:p>
        </w:tc>
        <w:tc>
          <w:tcPr>
            <w:tcW w:w="2818" w:type="pct"/>
            <w:vAlign w:val="center"/>
          </w:tcPr>
          <w:p>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00377511</w:t>
            </w:r>
          </w:p>
        </w:tc>
      </w:tr>
      <w:tr>
        <w:tc>
          <w:tcPr>
            <w:tcW w:w="2182" w:type="pct"/>
            <w:tcMar>
              <w:top w:w="60" w:type="dxa"/>
              <w:left w:w="60" w:type="dxa"/>
              <w:bottom w:w="60" w:type="dxa"/>
              <w:right w:w="60" w:type="dxa"/>
            </w:tcMar>
            <w:vAlign w:val="center"/>
          </w:tcPr>
          <w:p>
            <w:pPr>
              <w:spacing w:after="0" w:line="240" w:lineRule="auto"/>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4. Місцезнаходження</w:t>
            </w:r>
            <w:r>
              <w:rPr>
                <w:rFonts w:ascii="Times New Roman" w:eastAsia="Times New Roman" w:hAnsi="Times New Roman" w:cs="Times New Roman"/>
                <w:b/>
                <w:color w:val="000000"/>
                <w:sz w:val="20"/>
                <w:szCs w:val="20"/>
                <w:lang w:val="uk-UA" w:eastAsia="ru-RU"/>
              </w:rPr>
              <w:t>.</w:t>
            </w:r>
            <w:r>
              <w:rPr>
                <w:rFonts w:ascii="Times New Roman" w:eastAsia="Times New Roman" w:hAnsi="Times New Roman" w:cs="Times New Roman"/>
                <w:b/>
                <w:color w:val="000000"/>
                <w:sz w:val="20"/>
                <w:szCs w:val="20"/>
                <w:lang w:eastAsia="ru-RU"/>
              </w:rPr>
              <w:t xml:space="preserve"> </w:t>
            </w:r>
          </w:p>
        </w:tc>
        <w:tc>
          <w:tcPr>
            <w:tcW w:w="2818" w:type="pct"/>
            <w:vAlign w:val="center"/>
          </w:tcPr>
          <w:p>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uk-UA" w:eastAsia="ru-RU"/>
              </w:rPr>
              <w:t>69123, Запорiзька область, Хортицький район, мiсто Запорiжжя, вулиця Василя Стуса,будинок 6</w:t>
            </w:r>
          </w:p>
        </w:tc>
      </w:tr>
      <w:tr>
        <w:tc>
          <w:tcPr>
            <w:tcW w:w="2182" w:type="pct"/>
            <w:tcMar>
              <w:top w:w="60" w:type="dxa"/>
              <w:left w:w="60" w:type="dxa"/>
              <w:bottom w:w="60" w:type="dxa"/>
              <w:right w:w="60" w:type="dxa"/>
            </w:tcMar>
            <w:vAlign w:val="center"/>
          </w:tcPr>
          <w:p>
            <w:pPr>
              <w:spacing w:after="0" w:line="240" w:lineRule="auto"/>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5. Міжміський код, телефон та факс</w:t>
            </w:r>
            <w:r>
              <w:rPr>
                <w:rFonts w:ascii="Times New Roman" w:eastAsia="Times New Roman" w:hAnsi="Times New Roman" w:cs="Times New Roman"/>
                <w:b/>
                <w:color w:val="000000"/>
                <w:sz w:val="20"/>
                <w:szCs w:val="20"/>
                <w:lang w:val="uk-UA" w:eastAsia="ru-RU"/>
              </w:rPr>
              <w:t>.</w:t>
            </w:r>
            <w:r>
              <w:rPr>
                <w:rFonts w:ascii="Times New Roman" w:eastAsia="Times New Roman" w:hAnsi="Times New Roman" w:cs="Times New Roman"/>
                <w:b/>
                <w:color w:val="000000"/>
                <w:sz w:val="20"/>
                <w:szCs w:val="20"/>
                <w:lang w:eastAsia="ru-RU"/>
              </w:rPr>
              <w:t xml:space="preserve"> </w:t>
            </w:r>
          </w:p>
        </w:tc>
        <w:tc>
          <w:tcPr>
            <w:tcW w:w="2818" w:type="pct"/>
            <w:vAlign w:val="center"/>
          </w:tcPr>
          <w:p>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(061) 228-11-99 (061) 220-56-65</w:t>
            </w:r>
          </w:p>
        </w:tc>
      </w:tr>
      <w:tr>
        <w:tc>
          <w:tcPr>
            <w:tcW w:w="2182" w:type="pct"/>
            <w:tcMar>
              <w:top w:w="60" w:type="dxa"/>
              <w:left w:w="60" w:type="dxa"/>
              <w:bottom w:w="60" w:type="dxa"/>
              <w:right w:w="60" w:type="dxa"/>
            </w:tcMar>
            <w:vAlign w:val="center"/>
          </w:tcPr>
          <w:p>
            <w:pPr>
              <w:spacing w:after="0" w:line="240" w:lineRule="auto"/>
              <w:rPr>
                <w:rFonts w:ascii="Times New Roman" w:eastAsia="Times New Roman" w:hAnsi="Times New Roman" w:cs="Times New Roman"/>
                <w:b/>
                <w:color w:val="000000"/>
                <w:sz w:val="20"/>
                <w:szCs w:val="20"/>
                <w:lang w:val="uk-UA" w:eastAsia="ru-RU"/>
              </w:rPr>
            </w:pPr>
            <w:r>
              <w:rPr>
                <w:rFonts w:ascii="Times New Roman" w:eastAsia="Times New Roman" w:hAnsi="Times New Roman" w:cs="Times New Roman"/>
                <w:b/>
                <w:color w:val="000000"/>
                <w:sz w:val="20"/>
                <w:szCs w:val="20"/>
                <w:lang w:val="uk-UA" w:eastAsia="ru-RU"/>
              </w:rPr>
              <w:t xml:space="preserve">6. </w:t>
            </w:r>
            <w:r>
              <w:rPr>
                <w:rFonts w:ascii="Times New Roman" w:eastAsia="Times New Roman" w:hAnsi="Times New Roman" w:cs="Times New Roman"/>
                <w:b/>
                <w:sz w:val="20"/>
                <w:szCs w:val="20"/>
                <w:lang w:eastAsia="ru-RU"/>
              </w:rPr>
              <w:t>Адреса електронної пошти</w:t>
            </w:r>
            <w:r>
              <w:rPr>
                <w:rFonts w:ascii="Times New Roman" w:eastAsia="Times New Roman" w:hAnsi="Times New Roman" w:cs="Times New Roman"/>
                <w:b/>
                <w:sz w:val="20"/>
                <w:szCs w:val="20"/>
                <w:lang w:val="uk-UA" w:eastAsia="ru-RU"/>
              </w:rPr>
              <w:t>.</w:t>
            </w:r>
          </w:p>
        </w:tc>
        <w:tc>
          <w:tcPr>
            <w:tcW w:w="2818" w:type="pct"/>
            <w:vAlign w:val="center"/>
          </w:tcPr>
          <w:p>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info@carlsberg.ua</w:t>
            </w:r>
          </w:p>
        </w:tc>
      </w:tr>
      <w:tr>
        <w:tc>
          <w:tcPr>
            <w:tcW w:w="2182" w:type="pct"/>
            <w:tcMar>
              <w:top w:w="60" w:type="dxa"/>
              <w:left w:w="60" w:type="dxa"/>
              <w:bottom w:w="60" w:type="dxa"/>
              <w:right w:w="60" w:type="dxa"/>
            </w:tcMar>
            <w:vAlign w:val="center"/>
          </w:tcPr>
          <w:p>
            <w:pPr>
              <w:spacing w:before="100" w:beforeAutospacing="1" w:after="100" w:afterAutospacing="1" w:line="240" w:lineRule="auto"/>
              <w:jc w:val="both"/>
              <w:rPr>
                <w:rFonts w:ascii="Times New Roman" w:eastAsia="Times New Roman" w:hAnsi="Times New Roman" w:cs="Times New Roman"/>
                <w:b/>
                <w:color w:val="000000"/>
                <w:sz w:val="20"/>
                <w:szCs w:val="20"/>
                <w:lang w:val="uk-UA" w:eastAsia="ru-RU"/>
              </w:rPr>
            </w:pPr>
            <w:r>
              <w:rPr>
                <w:rFonts w:ascii="Times New Roman" w:eastAsia="Times New Roman" w:hAnsi="Times New Roman" w:cs="Times New Roman"/>
                <w:b/>
                <w:color w:val="000000"/>
                <w:sz w:val="20"/>
                <w:szCs w:val="20"/>
                <w:lang w:eastAsia="ru-RU"/>
              </w:rPr>
              <w:t>7</w:t>
            </w:r>
            <w:r>
              <w:rPr>
                <w:rFonts w:ascii="Times New Roman" w:eastAsia="Times New Roman" w:hAnsi="Times New Roman" w:cs="Times New Roman"/>
                <w:b/>
                <w:color w:val="000000"/>
                <w:sz w:val="20"/>
                <w:szCs w:val="20"/>
                <w:lang w:val="uk-UA" w:eastAsia="ru-RU"/>
              </w:rPr>
              <w:t xml:space="preserve">. </w:t>
            </w:r>
            <w:r>
              <w:rPr>
                <w:rFonts w:ascii="Times New Roman" w:eastAsia="Times New Roman" w:hAnsi="Times New Roman" w:cs="Times New Roman"/>
                <w:b/>
                <w:sz w:val="20"/>
                <w:szCs w:val="20"/>
                <w:lang w:val="uk-UA" w:eastAsia="ru-RU"/>
              </w:rPr>
              <w:t>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оприлюднення регульованої інформації від імені учасника фондового ринку (у разі здійснення оприлюднення).</w:t>
            </w:r>
          </w:p>
        </w:tc>
        <w:tc>
          <w:tcPr>
            <w:tcW w:w="2818" w:type="pct"/>
            <w:vAlign w:val="center"/>
          </w:tcPr>
          <w:p>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Державна установа "Агентство з розвитку </w:t>
            </w:r>
            <w:r>
              <w:rPr>
                <w:rFonts w:ascii="Times New Roman" w:eastAsia="Times New Roman" w:hAnsi="Times New Roman" w:cs="Times New Roman"/>
                <w:sz w:val="20"/>
                <w:szCs w:val="20"/>
                <w:lang w:val="en-US" w:eastAsia="ru-RU"/>
              </w:rPr>
              <w:t>i</w:t>
            </w:r>
            <w:r>
              <w:rPr>
                <w:rFonts w:ascii="Times New Roman" w:eastAsia="Times New Roman" w:hAnsi="Times New Roman" w:cs="Times New Roman"/>
                <w:sz w:val="20"/>
                <w:szCs w:val="20"/>
                <w:lang w:eastAsia="ru-RU"/>
              </w:rPr>
              <w:t>нфраструктури фондового ринку України"</w:t>
            </w:r>
          </w:p>
          <w:p>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21676262</w:t>
            </w:r>
          </w:p>
          <w:p>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Україна</w:t>
            </w:r>
          </w:p>
          <w:p>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DR/00001/APA</w:t>
            </w:r>
          </w:p>
        </w:tc>
      </w:tr>
      <w:tr>
        <w:tc>
          <w:tcPr>
            <w:tcW w:w="2182" w:type="pct"/>
            <w:tcMar>
              <w:top w:w="60" w:type="dxa"/>
              <w:left w:w="60" w:type="dxa"/>
              <w:bottom w:w="60" w:type="dxa"/>
              <w:right w:w="60" w:type="dxa"/>
            </w:tcMar>
            <w:vAlign w:val="center"/>
          </w:tcPr>
          <w:p>
            <w:pPr>
              <w:spacing w:before="100" w:beforeAutospacing="1" w:after="100" w:afterAutospacing="1" w:line="240" w:lineRule="auto"/>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sz w:val="20"/>
                <w:szCs w:val="20"/>
                <w:lang w:eastAsia="ru-RU"/>
              </w:rPr>
              <w:t>8.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w:t>
            </w:r>
          </w:p>
        </w:tc>
        <w:tc>
          <w:tcPr>
            <w:tcW w:w="2818" w:type="pct"/>
            <w:vAlign w:val="center"/>
          </w:tcPr>
          <w:p>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Державна установа "Агентство з розвитку </w:t>
            </w:r>
            <w:r>
              <w:rPr>
                <w:rFonts w:ascii="Times New Roman" w:eastAsia="Times New Roman" w:hAnsi="Times New Roman" w:cs="Times New Roman"/>
                <w:sz w:val="20"/>
                <w:szCs w:val="20"/>
                <w:lang w:val="en-US" w:eastAsia="ru-RU"/>
              </w:rPr>
              <w:t>i</w:t>
            </w:r>
            <w:r>
              <w:rPr>
                <w:rFonts w:ascii="Times New Roman" w:eastAsia="Times New Roman" w:hAnsi="Times New Roman" w:cs="Times New Roman"/>
                <w:sz w:val="20"/>
                <w:szCs w:val="20"/>
                <w:lang w:eastAsia="ru-RU"/>
              </w:rPr>
              <w:t>нфраструктури фондового ринку України"</w:t>
            </w:r>
          </w:p>
          <w:p>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21676262</w:t>
            </w:r>
          </w:p>
          <w:p>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Україна</w:t>
            </w:r>
          </w:p>
          <w:p>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DR/00002/ARM</w:t>
            </w:r>
          </w:p>
        </w:tc>
      </w:tr>
      <w:tr>
        <w:tblPrEx>
          <w:tblLook w:val="0000" w:firstRow="0" w:lastRow="0" w:firstColumn="0" w:lastColumn="0" w:noHBand="0" w:noVBand="0"/>
        </w:tblPrEx>
        <w:tc>
          <w:tcPr>
            <w:tcW w:w="5000" w:type="pct"/>
            <w:gridSpan w:val="2"/>
            <w:tcMar>
              <w:top w:w="300" w:type="dxa"/>
              <w:left w:w="60" w:type="dxa"/>
              <w:bottom w:w="300" w:type="dxa"/>
              <w:right w:w="60" w:type="dxa"/>
            </w:tcMar>
            <w:vAlign w:val="center"/>
          </w:tcPr>
          <w:p>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val="en-US" w:eastAsia="ru-RU"/>
              </w:rPr>
              <w:lastRenderedPageBreak/>
              <w:t>II</w:t>
            </w:r>
            <w:r>
              <w:rPr>
                <w:rFonts w:ascii="Times New Roman" w:eastAsia="Times New Roman" w:hAnsi="Times New Roman" w:cs="Times New Roman"/>
                <w:b/>
                <w:bCs/>
                <w:sz w:val="20"/>
                <w:szCs w:val="20"/>
                <w:lang w:eastAsia="ru-RU"/>
              </w:rPr>
              <w:t xml:space="preserve">. Дані про дату та місце оприлюднення </w:t>
            </w:r>
            <w:r>
              <w:rPr>
                <w:rFonts w:ascii="Times New Roman" w:eastAsia="Times New Roman" w:hAnsi="Times New Roman" w:cs="Times New Roman"/>
                <w:b/>
                <w:bCs/>
                <w:sz w:val="20"/>
                <w:szCs w:val="20"/>
                <w:lang w:val="uk-UA" w:eastAsia="ru-RU"/>
              </w:rPr>
              <w:t>проміжної</w:t>
            </w:r>
            <w:r>
              <w:rPr>
                <w:rFonts w:ascii="Times New Roman" w:eastAsia="Times New Roman" w:hAnsi="Times New Roman" w:cs="Times New Roman"/>
                <w:b/>
                <w:bCs/>
                <w:sz w:val="20"/>
                <w:szCs w:val="20"/>
                <w:lang w:eastAsia="ru-RU"/>
              </w:rPr>
              <w:t xml:space="preserve"> інформації</w:t>
            </w:r>
          </w:p>
        </w:tc>
      </w:tr>
    </w:tbl>
    <w:p>
      <w:pPr>
        <w:spacing w:after="0" w:line="240" w:lineRule="auto"/>
        <w:rPr>
          <w:rFonts w:ascii="Times New Roman" w:eastAsia="Times New Roman" w:hAnsi="Times New Roman" w:cs="Times New Roman"/>
          <w:vanish/>
          <w:color w:val="000000"/>
          <w:sz w:val="20"/>
          <w:szCs w:val="20"/>
          <w:lang w:eastAsia="ru-RU"/>
        </w:rPr>
      </w:pPr>
    </w:p>
    <w:p>
      <w:pPr>
        <w:spacing w:after="0" w:line="240" w:lineRule="auto"/>
        <w:rPr>
          <w:rFonts w:ascii="Times New Roman" w:eastAsia="Times New Roman" w:hAnsi="Times New Roman" w:cs="Times New Roman"/>
          <w:vanish/>
          <w:color w:val="000000"/>
          <w:sz w:val="20"/>
          <w:szCs w:val="20"/>
          <w:lang w:eastAsia="ru-RU"/>
        </w:rPr>
      </w:pPr>
    </w:p>
    <w:tbl>
      <w:tblPr>
        <w:tblW w:w="4919" w:type="pct"/>
        <w:tblLayout w:type="fixed"/>
        <w:tblCellMar>
          <w:top w:w="15" w:type="dxa"/>
          <w:left w:w="15" w:type="dxa"/>
          <w:bottom w:w="15" w:type="dxa"/>
          <w:right w:w="15" w:type="dxa"/>
        </w:tblCellMar>
        <w:tblLook w:val="0000" w:firstRow="0" w:lastRow="0" w:firstColumn="0" w:lastColumn="0" w:noHBand="0" w:noVBand="0"/>
      </w:tblPr>
      <w:tblGrid>
        <w:gridCol w:w="3774"/>
        <w:gridCol w:w="3409"/>
        <w:gridCol w:w="379"/>
        <w:gridCol w:w="2199"/>
      </w:tblGrid>
      <w:tr>
        <w:tc>
          <w:tcPr>
            <w:tcW w:w="3712" w:type="dxa"/>
            <w:vMerge w:val="restart"/>
            <w:tcMar>
              <w:top w:w="60" w:type="dxa"/>
              <w:left w:w="60" w:type="dxa"/>
              <w:bottom w:w="60" w:type="dxa"/>
              <w:right w:w="60" w:type="dxa"/>
            </w:tcMar>
            <w:vAlign w:val="bottom"/>
          </w:tcPr>
          <w:p>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Проміжну інформацію розміщено на власному</w:t>
            </w:r>
            <w:r>
              <w:rPr>
                <w:rFonts w:ascii="Times New Roman" w:eastAsia="Times New Roman" w:hAnsi="Times New Roman" w:cs="Times New Roman"/>
                <w:b/>
                <w:sz w:val="20"/>
                <w:szCs w:val="20"/>
                <w:lang w:eastAsia="ru-RU"/>
              </w:rPr>
              <w:br/>
              <w:t>веб-сайті учасника фондового ринку</w:t>
            </w:r>
          </w:p>
          <w:p>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4"/>
                <w:szCs w:val="24"/>
                <w:lang w:eastAsia="ru-RU"/>
              </w:rPr>
              <w:t> </w:t>
            </w:r>
          </w:p>
        </w:tc>
        <w:tc>
          <w:tcPr>
            <w:tcW w:w="3353" w:type="dxa"/>
            <w:tcMar>
              <w:top w:w="60" w:type="dxa"/>
              <w:left w:w="60" w:type="dxa"/>
              <w:bottom w:w="60" w:type="dxa"/>
              <w:right w:w="60" w:type="dxa"/>
            </w:tcMar>
            <w:vAlign w:val="bottom"/>
          </w:tcPr>
          <w:p>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https</w:t>
            </w:r>
            <w:r>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en-US" w:eastAsia="ru-RU"/>
              </w:rPr>
              <w:t>carlsbergukraine</w:t>
            </w:r>
            <w:r>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en-US" w:eastAsia="ru-RU"/>
              </w:rPr>
              <w:t>com</w:t>
            </w:r>
            <w:r>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en-US" w:eastAsia="ru-RU"/>
              </w:rPr>
              <w:t>kompan</w:t>
            </w:r>
            <w:r>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en-US" w:eastAsia="ru-RU"/>
              </w:rPr>
              <w:t>ya</w:t>
            </w:r>
            <w:r>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en-US" w:eastAsia="ru-RU"/>
              </w:rPr>
              <w:t>akts</w:t>
            </w:r>
            <w:r>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en-US" w:eastAsia="ru-RU"/>
              </w:rPr>
              <w:t>oneram</w:t>
            </w:r>
            <w:r>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en-US" w:eastAsia="ru-RU"/>
              </w:rPr>
              <w:t>zagal</w:t>
            </w:r>
            <w:r>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en-US" w:eastAsia="ru-RU"/>
              </w:rPr>
              <w:t>na</w:t>
            </w:r>
            <w:r>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en-US" w:eastAsia="ru-RU"/>
              </w:rPr>
              <w:t>nformaf</w:t>
            </w:r>
            <w:r>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en-US" w:eastAsia="ru-RU"/>
              </w:rPr>
              <w:t>ya</w:t>
            </w:r>
            <w:r>
              <w:rPr>
                <w:rFonts w:ascii="Times New Roman" w:eastAsia="Times New Roman" w:hAnsi="Times New Roman" w:cs="Times New Roman"/>
                <w:sz w:val="20"/>
                <w:szCs w:val="20"/>
                <w:lang w:eastAsia="ru-RU"/>
              </w:rPr>
              <w:t>/#Ф</w:t>
            </w:r>
            <w:r>
              <w:rPr>
                <w:rFonts w:ascii="Times New Roman" w:eastAsia="Times New Roman" w:hAnsi="Times New Roman" w:cs="Times New Roman"/>
                <w:sz w:val="20"/>
                <w:szCs w:val="20"/>
                <w:lang w:val="en-US" w:eastAsia="ru-RU"/>
              </w:rPr>
              <w:t>i</w:t>
            </w:r>
            <w:r>
              <w:rPr>
                <w:rFonts w:ascii="Times New Roman" w:eastAsia="Times New Roman" w:hAnsi="Times New Roman" w:cs="Times New Roman"/>
                <w:sz w:val="20"/>
                <w:szCs w:val="20"/>
                <w:lang w:eastAsia="ru-RU"/>
              </w:rPr>
              <w:t>нансовазв</w:t>
            </w:r>
            <w:r>
              <w:rPr>
                <w:rFonts w:ascii="Times New Roman" w:eastAsia="Times New Roman" w:hAnsi="Times New Roman" w:cs="Times New Roman"/>
                <w:sz w:val="20"/>
                <w:szCs w:val="20"/>
                <w:lang w:val="en-US" w:eastAsia="ru-RU"/>
              </w:rPr>
              <w:t>i</w:t>
            </w:r>
            <w:r>
              <w:rPr>
                <w:rFonts w:ascii="Times New Roman" w:eastAsia="Times New Roman" w:hAnsi="Times New Roman" w:cs="Times New Roman"/>
                <w:sz w:val="20"/>
                <w:szCs w:val="20"/>
                <w:lang w:eastAsia="ru-RU"/>
              </w:rPr>
              <w:t>тн</w:t>
            </w:r>
            <w:r>
              <w:rPr>
                <w:rFonts w:ascii="Times New Roman" w:eastAsia="Times New Roman" w:hAnsi="Times New Roman" w:cs="Times New Roman"/>
                <w:sz w:val="20"/>
                <w:szCs w:val="20"/>
                <w:lang w:val="en-US" w:eastAsia="ru-RU"/>
              </w:rPr>
              <w:t>i</w:t>
            </w:r>
            <w:r>
              <w:rPr>
                <w:rFonts w:ascii="Times New Roman" w:eastAsia="Times New Roman" w:hAnsi="Times New Roman" w:cs="Times New Roman"/>
                <w:sz w:val="20"/>
                <w:szCs w:val="20"/>
                <w:lang w:eastAsia="ru-RU"/>
              </w:rPr>
              <w:t>сть</w:t>
            </w:r>
          </w:p>
        </w:tc>
        <w:tc>
          <w:tcPr>
            <w:tcW w:w="373" w:type="dxa"/>
            <w:tcMar>
              <w:top w:w="60" w:type="dxa"/>
              <w:left w:w="60" w:type="dxa"/>
              <w:bottom w:w="60" w:type="dxa"/>
              <w:right w:w="60" w:type="dxa"/>
            </w:tcMar>
            <w:vAlign w:val="bottom"/>
          </w:tcPr>
          <w:p>
            <w:pPr>
              <w:spacing w:after="0" w:line="240" w:lineRule="auto"/>
              <w:jc w:val="center"/>
              <w:rPr>
                <w:rFonts w:ascii="Times New Roman" w:eastAsia="Times New Roman" w:hAnsi="Times New Roman" w:cs="Times New Roman"/>
                <w:b/>
                <w:sz w:val="20"/>
                <w:szCs w:val="20"/>
                <w:lang w:eastAsia="ru-RU"/>
              </w:rPr>
            </w:pPr>
          </w:p>
        </w:tc>
        <w:tc>
          <w:tcPr>
            <w:tcW w:w="2163" w:type="dxa"/>
            <w:tcMar>
              <w:top w:w="60" w:type="dxa"/>
              <w:left w:w="60" w:type="dxa"/>
              <w:bottom w:w="60" w:type="dxa"/>
              <w:right w:w="60" w:type="dxa"/>
            </w:tcMar>
            <w:vAlign w:val="bottom"/>
          </w:tcPr>
          <w:p>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28.01.2022</w:t>
            </w:r>
          </w:p>
        </w:tc>
      </w:tr>
      <w:tr>
        <w:tc>
          <w:tcPr>
            <w:tcW w:w="3712" w:type="dxa"/>
            <w:vMerge/>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4"/>
                <w:szCs w:val="24"/>
                <w:lang w:eastAsia="ru-RU"/>
              </w:rPr>
            </w:pPr>
          </w:p>
        </w:tc>
        <w:tc>
          <w:tcPr>
            <w:tcW w:w="3353"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en-US" w:eastAsia="ru-RU"/>
              </w:rPr>
              <w:t>URL-</w:t>
            </w:r>
            <w:r>
              <w:rPr>
                <w:rFonts w:ascii="Times New Roman" w:eastAsia="Times New Roman" w:hAnsi="Times New Roman" w:cs="Times New Roman"/>
                <w:sz w:val="20"/>
                <w:szCs w:val="20"/>
                <w:lang w:eastAsia="ru-RU"/>
              </w:rPr>
              <w:t>адреса сторінки)</w:t>
            </w:r>
          </w:p>
        </w:tc>
        <w:tc>
          <w:tcPr>
            <w:tcW w:w="373"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sz w:val="24"/>
                <w:szCs w:val="24"/>
                <w:lang w:eastAsia="ru-RU"/>
              </w:rPr>
            </w:pPr>
          </w:p>
        </w:tc>
        <w:tc>
          <w:tcPr>
            <w:tcW w:w="2163"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(дата)</w:t>
            </w:r>
          </w:p>
        </w:tc>
      </w:tr>
    </w:tbl>
    <w:p>
      <w:pPr>
        <w:spacing w:after="0" w:line="240" w:lineRule="auto"/>
        <w:rPr>
          <w:rFonts w:ascii="Times New Roman" w:eastAsia="Times New Roman" w:hAnsi="Times New Roman" w:cs="Times New Roman"/>
          <w:sz w:val="24"/>
          <w:szCs w:val="24"/>
          <w:lang w:eastAsia="ru-RU"/>
        </w:rPr>
      </w:pPr>
    </w:p>
    <w:p>
      <w:pPr>
        <w:sectPr>
          <w:pgSz w:w="11906" w:h="16838"/>
          <w:pgMar w:top="363" w:right="567" w:bottom="363" w:left="1417" w:header="708" w:footer="708" w:gutter="0"/>
          <w:cols w:space="708"/>
          <w:docGrid w:linePitch="360"/>
        </w:sectPr>
      </w:pPr>
      <w:bookmarkStart w:id="0" w:name="_GoBack"/>
      <w:bookmarkEnd w:id="0"/>
    </w:p>
    <w:p>
      <w:pPr>
        <w:spacing w:after="300" w:line="240" w:lineRule="auto"/>
        <w:ind w:right="-1353"/>
        <w:jc w:val="center"/>
        <w:outlineLvl w:val="2"/>
        <w:rPr>
          <w:rFonts w:ascii="Times New Roman" w:eastAsia="Times New Roman" w:hAnsi="Times New Roman" w:cs="Times New Roman"/>
          <w:b/>
          <w:bCs/>
          <w:color w:val="000000"/>
          <w:sz w:val="28"/>
          <w:szCs w:val="28"/>
          <w:lang w:val="en-US" w:eastAsia="uk-UA"/>
        </w:rPr>
      </w:pPr>
      <w:r>
        <w:rPr>
          <w:rFonts w:ascii="Times New Roman" w:eastAsia="Times New Roman" w:hAnsi="Times New Roman" w:cs="Times New Roman"/>
          <w:b/>
          <w:bCs/>
          <w:color w:val="000000"/>
          <w:sz w:val="28"/>
          <w:szCs w:val="28"/>
          <w:lang w:val="uk-UA" w:eastAsia="uk-UA"/>
        </w:rPr>
        <w:lastRenderedPageBreak/>
        <w:t>Зміст</w:t>
      </w:r>
    </w:p>
    <w:tbl>
      <w:tblPr>
        <w:tblW w:w="10266" w:type="dxa"/>
        <w:tblLayout w:type="fixed"/>
        <w:tblCellMar>
          <w:top w:w="15" w:type="dxa"/>
          <w:left w:w="15" w:type="dxa"/>
          <w:bottom w:w="15" w:type="dxa"/>
          <w:right w:w="15" w:type="dxa"/>
        </w:tblCellMar>
        <w:tblLook w:val="0000" w:firstRow="0" w:lastRow="0" w:firstColumn="0" w:lastColumn="0" w:noHBand="0" w:noVBand="0"/>
      </w:tblPr>
      <w:tblGrid>
        <w:gridCol w:w="8279"/>
        <w:gridCol w:w="1987"/>
      </w:tblGrid>
      <w:tr>
        <w:tc>
          <w:tcPr>
            <w:tcW w:w="10266" w:type="dxa"/>
            <w:gridSpan w:val="2"/>
            <w:tcMar>
              <w:top w:w="60" w:type="dxa"/>
              <w:left w:w="60" w:type="dxa"/>
              <w:bottom w:w="60" w:type="dxa"/>
              <w:right w:w="60" w:type="dxa"/>
            </w:tcMar>
            <w:vAlign w:val="center"/>
          </w:tcPr>
          <w:p>
            <w:pPr>
              <w:spacing w:before="100" w:beforeAutospacing="1" w:after="100" w:afterAutospacing="1" w:line="240" w:lineRule="auto"/>
              <w:jc w:val="both"/>
              <w:rPr>
                <w:rFonts w:ascii="Times New Roman" w:eastAsia="Times New Roman" w:hAnsi="Times New Roman" w:cs="Times New Roman"/>
                <w:b/>
                <w:bCs/>
                <w:sz w:val="20"/>
                <w:szCs w:val="20"/>
                <w:lang w:val="en-US" w:eastAsia="ru-RU"/>
              </w:rPr>
            </w:pPr>
            <w:r>
              <w:rPr>
                <w:rFonts w:ascii="Times New Roman" w:eastAsia="Times New Roman" w:hAnsi="Times New Roman" w:cs="Times New Roman"/>
                <w:color w:val="000000"/>
                <w:sz w:val="20"/>
                <w:szCs w:val="20"/>
                <w:lang w:val="uk-UA" w:eastAsia="ru-RU"/>
              </w:rPr>
              <w:t xml:space="preserve">Відмітьте (X), якщо відповідна інформація міститься у </w:t>
            </w:r>
            <w:r>
              <w:rPr>
                <w:rFonts w:ascii="Times New Roman" w:eastAsia="Times New Roman" w:hAnsi="Times New Roman" w:cs="Times New Roman"/>
                <w:sz w:val="18"/>
                <w:szCs w:val="24"/>
                <w:lang w:val="uk-UA" w:eastAsia="ru-RU"/>
              </w:rPr>
              <w:t>проміжній</w:t>
            </w:r>
            <w:r>
              <w:rPr>
                <w:rFonts w:ascii="Times New Roman" w:eastAsia="Times New Roman" w:hAnsi="Times New Roman" w:cs="Times New Roman"/>
                <w:color w:val="000000"/>
                <w:sz w:val="20"/>
                <w:szCs w:val="20"/>
                <w:lang w:val="uk-UA" w:eastAsia="ru-RU"/>
              </w:rPr>
              <w:t xml:space="preserve"> інформації</w:t>
            </w:r>
          </w:p>
        </w:tc>
      </w:tr>
      <w:tr>
        <w:tc>
          <w:tcPr>
            <w:tcW w:w="8279" w:type="dxa"/>
            <w:tcMar>
              <w:top w:w="60" w:type="dxa"/>
              <w:left w:w="60" w:type="dxa"/>
              <w:bottom w:w="60" w:type="dxa"/>
              <w:right w:w="60" w:type="dxa"/>
            </w:tcMar>
            <w:vAlign w:val="center"/>
          </w:tcPr>
          <w:p>
            <w:pPr>
              <w:spacing w:after="0" w:line="240" w:lineRule="auto"/>
              <w:rPr>
                <w:rFonts w:ascii="Times New Roman" w:eastAsia="Times New Roman" w:hAnsi="Times New Roman" w:cs="Times New Roman"/>
                <w:b/>
                <w:bCs/>
                <w:sz w:val="20"/>
                <w:szCs w:val="20"/>
                <w:lang w:val="uk-UA" w:eastAsia="uk-UA"/>
              </w:rPr>
            </w:pPr>
            <w:r>
              <w:rPr>
                <w:rFonts w:ascii="Times New Roman" w:eastAsia="Times New Roman" w:hAnsi="Times New Roman" w:cs="Times New Roman"/>
                <w:color w:val="000000"/>
                <w:sz w:val="20"/>
                <w:szCs w:val="20"/>
                <w:lang w:val="uk-UA" w:eastAsia="uk-UA"/>
              </w:rPr>
              <w:t>1. Основні відомості про емітента.</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en-US" w:eastAsia="uk-UA"/>
              </w:rPr>
            </w:pPr>
            <w:r>
              <w:rPr>
                <w:rFonts w:ascii="Times New Roman" w:eastAsia="Times New Roman" w:hAnsi="Times New Roman" w:cs="Times New Roman"/>
                <w:b/>
                <w:sz w:val="24"/>
                <w:szCs w:val="24"/>
                <w:lang w:val="en-US" w:eastAsia="uk-UA"/>
              </w:rPr>
              <w:t>X</w:t>
            </w:r>
          </w:p>
        </w:tc>
      </w:tr>
      <w:tr>
        <w:tc>
          <w:tcPr>
            <w:tcW w:w="8279" w:type="dxa"/>
            <w:tcMar>
              <w:top w:w="60" w:type="dxa"/>
              <w:left w:w="60" w:type="dxa"/>
              <w:bottom w:w="60" w:type="dxa"/>
              <w:right w:w="60" w:type="dxa"/>
            </w:tcMar>
            <w:vAlign w:val="center"/>
          </w:tcPr>
          <w:p>
            <w:pPr>
              <w:spacing w:after="0" w:line="240" w:lineRule="auto"/>
              <w:rPr>
                <w:rFonts w:ascii="Times New Roman" w:eastAsia="Times New Roman" w:hAnsi="Times New Roman" w:cs="Times New Roman"/>
                <w:b/>
                <w:bCs/>
                <w:sz w:val="20"/>
                <w:szCs w:val="20"/>
                <w:lang w:val="uk-UA" w:eastAsia="uk-UA"/>
              </w:rPr>
            </w:pPr>
            <w:r>
              <w:rPr>
                <w:rFonts w:ascii="Times New Roman" w:eastAsia="Times New Roman" w:hAnsi="Times New Roman" w:cs="Times New Roman"/>
                <w:color w:val="000000"/>
                <w:sz w:val="20"/>
                <w:szCs w:val="20"/>
                <w:lang w:val="uk-UA" w:eastAsia="uk-UA"/>
              </w:rPr>
              <w:t>2. Інформація про одержані ліцензії на окремі види діяльності.</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en-US" w:eastAsia="uk-UA"/>
              </w:rPr>
            </w:pPr>
            <w:r>
              <w:rPr>
                <w:rFonts w:ascii="Times New Roman" w:eastAsia="Times New Roman" w:hAnsi="Times New Roman" w:cs="Times New Roman"/>
                <w:b/>
                <w:sz w:val="24"/>
                <w:szCs w:val="24"/>
                <w:lang w:val="en-US" w:eastAsia="uk-UA"/>
              </w:rPr>
              <w:t>X</w:t>
            </w:r>
          </w:p>
        </w:tc>
      </w:tr>
      <w:tr>
        <w:tc>
          <w:tcPr>
            <w:tcW w:w="8279" w:type="dxa"/>
            <w:tcMar>
              <w:top w:w="60" w:type="dxa"/>
              <w:left w:w="60" w:type="dxa"/>
              <w:bottom w:w="60" w:type="dxa"/>
              <w:right w:w="60" w:type="dxa"/>
            </w:tcMar>
            <w:vAlign w:val="center"/>
          </w:tcPr>
          <w:p>
            <w:pPr>
              <w:spacing w:after="0" w:line="240" w:lineRule="auto"/>
              <w:rPr>
                <w:rFonts w:ascii="Times New Roman" w:eastAsia="Times New Roman" w:hAnsi="Times New Roman" w:cs="Times New Roman"/>
                <w:b/>
                <w:bCs/>
                <w:sz w:val="20"/>
                <w:szCs w:val="20"/>
                <w:lang w:val="uk-UA" w:eastAsia="uk-UA"/>
              </w:rPr>
            </w:pPr>
            <w:r>
              <w:rPr>
                <w:rFonts w:ascii="Times New Roman" w:eastAsia="Times New Roman" w:hAnsi="Times New Roman" w:cs="Times New Roman"/>
                <w:color w:val="000000"/>
                <w:sz w:val="20"/>
                <w:szCs w:val="20"/>
                <w:lang w:val="uk-UA" w:eastAsia="uk-UA"/>
              </w:rPr>
              <w:t>3. Інформація про посадових осіб емітента.</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en-US" w:eastAsia="uk-UA"/>
              </w:rPr>
            </w:pPr>
            <w:r>
              <w:rPr>
                <w:rFonts w:ascii="Times New Roman" w:eastAsia="Times New Roman" w:hAnsi="Times New Roman" w:cs="Times New Roman"/>
                <w:b/>
                <w:sz w:val="24"/>
                <w:szCs w:val="24"/>
                <w:lang w:val="en-US" w:eastAsia="uk-UA"/>
              </w:rPr>
              <w:t>X</w:t>
            </w:r>
          </w:p>
        </w:tc>
      </w:tr>
      <w:tr>
        <w:tc>
          <w:tcPr>
            <w:tcW w:w="8279" w:type="dxa"/>
            <w:tcMar>
              <w:top w:w="60" w:type="dxa"/>
              <w:left w:w="60" w:type="dxa"/>
              <w:bottom w:w="60" w:type="dxa"/>
              <w:right w:w="60" w:type="dxa"/>
            </w:tcMar>
          </w:tcPr>
          <w:p>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color w:val="000000"/>
                <w:sz w:val="20"/>
                <w:szCs w:val="20"/>
                <w:lang w:val="uk-UA" w:eastAsia="ru-RU"/>
              </w:rPr>
              <w:t>4. Інформація про господарську та фінансову діяльність емітента:</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eastAsia="uk-UA"/>
              </w:rPr>
            </w:pPr>
          </w:p>
        </w:tc>
      </w:tr>
      <w:tr>
        <w:tc>
          <w:tcPr>
            <w:tcW w:w="8279" w:type="dxa"/>
            <w:tcMar>
              <w:top w:w="60" w:type="dxa"/>
              <w:left w:w="60" w:type="dxa"/>
              <w:bottom w:w="60" w:type="dxa"/>
              <w:right w:w="60" w:type="dxa"/>
            </w:tcMar>
            <w:vAlign w:val="center"/>
          </w:tcPr>
          <w:p>
            <w:pPr>
              <w:spacing w:after="0" w:line="240" w:lineRule="auto"/>
              <w:rPr>
                <w:rFonts w:ascii="Times New Roman" w:eastAsia="Times New Roman" w:hAnsi="Times New Roman" w:cs="Times New Roman"/>
                <w:b/>
                <w:sz w:val="20"/>
                <w:szCs w:val="20"/>
                <w:lang w:val="uk-UA" w:eastAsia="uk-UA"/>
              </w:rPr>
            </w:pPr>
            <w:r>
              <w:rPr>
                <w:rFonts w:ascii="Times New Roman" w:eastAsia="Times New Roman" w:hAnsi="Times New Roman" w:cs="Times New Roman"/>
                <w:color w:val="000000"/>
                <w:sz w:val="20"/>
                <w:szCs w:val="20"/>
                <w:lang w:val="uk-UA" w:eastAsia="uk-UA"/>
              </w:rPr>
              <w:t>1) інформація про зобов'язання та забезпечення емітента;</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p>
        </w:tc>
      </w:tr>
      <w:tr>
        <w:tc>
          <w:tcPr>
            <w:tcW w:w="8279" w:type="dxa"/>
            <w:tcMar>
              <w:top w:w="60" w:type="dxa"/>
              <w:left w:w="60" w:type="dxa"/>
              <w:bottom w:w="60" w:type="dxa"/>
              <w:right w:w="60" w:type="dxa"/>
            </w:tcMar>
            <w:vAlign w:val="center"/>
          </w:tcPr>
          <w:p>
            <w:pPr>
              <w:spacing w:after="0" w:line="240" w:lineRule="auto"/>
              <w:rPr>
                <w:rFonts w:ascii="Times New Roman" w:eastAsia="Times New Roman" w:hAnsi="Times New Roman" w:cs="Times New Roman"/>
                <w:b/>
                <w:sz w:val="20"/>
                <w:szCs w:val="20"/>
                <w:lang w:val="uk-UA" w:eastAsia="uk-UA"/>
              </w:rPr>
            </w:pPr>
            <w:r>
              <w:rPr>
                <w:rFonts w:ascii="Times New Roman" w:eastAsia="Times New Roman" w:hAnsi="Times New Roman" w:cs="Times New Roman"/>
                <w:color w:val="000000"/>
                <w:sz w:val="20"/>
                <w:szCs w:val="20"/>
                <w:lang w:val="uk-UA" w:eastAsia="uk-UA"/>
              </w:rPr>
              <w:t>2) інформація про обсяги виробництва та реалізації основних видів продукції;</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p>
        </w:tc>
      </w:tr>
      <w:tr>
        <w:tc>
          <w:tcPr>
            <w:tcW w:w="8279" w:type="dxa"/>
            <w:tcMar>
              <w:top w:w="60" w:type="dxa"/>
              <w:left w:w="60" w:type="dxa"/>
              <w:bottom w:w="60" w:type="dxa"/>
              <w:right w:w="60" w:type="dxa"/>
            </w:tcMar>
            <w:vAlign w:val="center"/>
          </w:tcPr>
          <w:p>
            <w:pPr>
              <w:spacing w:after="0" w:line="240" w:lineRule="auto"/>
              <w:rPr>
                <w:rFonts w:ascii="Times New Roman" w:eastAsia="Times New Roman" w:hAnsi="Times New Roman" w:cs="Times New Roman"/>
                <w:b/>
                <w:bCs/>
                <w:sz w:val="20"/>
                <w:szCs w:val="20"/>
                <w:lang w:val="uk-UA" w:eastAsia="uk-UA"/>
              </w:rPr>
            </w:pPr>
            <w:r>
              <w:rPr>
                <w:rFonts w:ascii="Times New Roman" w:eastAsia="Times New Roman" w:hAnsi="Times New Roman" w:cs="Times New Roman"/>
                <w:color w:val="000000"/>
                <w:sz w:val="20"/>
                <w:szCs w:val="20"/>
                <w:lang w:eastAsia="uk-UA"/>
              </w:rPr>
              <w:t>3</w:t>
            </w:r>
            <w:r>
              <w:rPr>
                <w:rFonts w:ascii="Times New Roman" w:eastAsia="Times New Roman" w:hAnsi="Times New Roman" w:cs="Times New Roman"/>
                <w:color w:val="000000"/>
                <w:sz w:val="20"/>
                <w:szCs w:val="20"/>
                <w:lang w:val="uk-UA" w:eastAsia="uk-UA"/>
              </w:rPr>
              <w:t>) інформація про собівартість реалізованої продукції;</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p>
        </w:tc>
      </w:tr>
      <w:tr>
        <w:tc>
          <w:tcPr>
            <w:tcW w:w="8279" w:type="dxa"/>
            <w:tcMar>
              <w:top w:w="60" w:type="dxa"/>
              <w:left w:w="60" w:type="dxa"/>
              <w:bottom w:w="60" w:type="dxa"/>
              <w:right w:w="60" w:type="dxa"/>
            </w:tcMar>
            <w:vAlign w:val="center"/>
          </w:tcPr>
          <w:p>
            <w:pPr>
              <w:spacing w:after="0" w:line="240" w:lineRule="auto"/>
              <w:rPr>
                <w:rFonts w:ascii="Times New Roman" w:eastAsia="Times New Roman" w:hAnsi="Times New Roman" w:cs="Times New Roman"/>
                <w:b/>
                <w:bCs/>
                <w:sz w:val="20"/>
                <w:szCs w:val="20"/>
                <w:lang w:val="uk-UA" w:eastAsia="uk-UA"/>
              </w:rPr>
            </w:pPr>
            <w:r>
              <w:rPr>
                <w:rFonts w:ascii="Times New Roman" w:eastAsia="Times New Roman" w:hAnsi="Times New Roman" w:cs="Times New Roman"/>
                <w:color w:val="000000"/>
                <w:sz w:val="20"/>
                <w:szCs w:val="20"/>
                <w:lang w:val="uk-UA" w:eastAsia="uk-UA"/>
              </w:rPr>
              <w:t>5. Відомості про цінні папери емітента:</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r>
              <w:rPr>
                <w:rFonts w:ascii="Times New Roman" w:eastAsia="Times New Roman" w:hAnsi="Times New Roman" w:cs="Times New Roman"/>
                <w:b/>
                <w:sz w:val="24"/>
                <w:szCs w:val="24"/>
                <w:lang w:val="en-US" w:eastAsia="uk-UA"/>
              </w:rPr>
              <w:t>X</w:t>
            </w:r>
          </w:p>
        </w:tc>
      </w:tr>
      <w:tr>
        <w:tc>
          <w:tcPr>
            <w:tcW w:w="8279" w:type="dxa"/>
            <w:tcMar>
              <w:top w:w="60" w:type="dxa"/>
              <w:left w:w="60" w:type="dxa"/>
              <w:bottom w:w="60" w:type="dxa"/>
              <w:right w:w="60" w:type="dxa"/>
            </w:tcMar>
            <w:vAlign w:val="center"/>
          </w:tcPr>
          <w:p>
            <w:pPr>
              <w:spacing w:after="0" w:line="240" w:lineRule="auto"/>
              <w:rPr>
                <w:rFonts w:ascii="Times New Roman" w:eastAsia="Times New Roman" w:hAnsi="Times New Roman" w:cs="Times New Roman"/>
                <w:b/>
                <w:bCs/>
                <w:sz w:val="20"/>
                <w:szCs w:val="20"/>
                <w:lang w:val="uk-UA" w:eastAsia="uk-UA"/>
              </w:rPr>
            </w:pPr>
            <w:r>
              <w:rPr>
                <w:rFonts w:ascii="Times New Roman" w:eastAsia="Times New Roman" w:hAnsi="Times New Roman" w:cs="Times New Roman"/>
                <w:color w:val="000000"/>
                <w:sz w:val="20"/>
                <w:szCs w:val="20"/>
                <w:lang w:val="uk-UA" w:eastAsia="uk-UA"/>
              </w:rPr>
              <w:t>1) інформація про випуски акцій емітента;</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r>
              <w:rPr>
                <w:rFonts w:ascii="Times New Roman" w:eastAsia="Times New Roman" w:hAnsi="Times New Roman" w:cs="Times New Roman"/>
                <w:b/>
                <w:sz w:val="24"/>
                <w:szCs w:val="24"/>
                <w:lang w:val="en-US" w:eastAsia="uk-UA"/>
              </w:rPr>
              <w:t>X</w:t>
            </w:r>
          </w:p>
        </w:tc>
      </w:tr>
      <w:tr>
        <w:tc>
          <w:tcPr>
            <w:tcW w:w="8279" w:type="dxa"/>
            <w:tcMar>
              <w:top w:w="60" w:type="dxa"/>
              <w:left w:w="60" w:type="dxa"/>
              <w:bottom w:w="60" w:type="dxa"/>
              <w:right w:w="60" w:type="dxa"/>
            </w:tcMar>
            <w:vAlign w:val="center"/>
          </w:tcPr>
          <w:p>
            <w:pPr>
              <w:spacing w:after="0" w:line="240" w:lineRule="auto"/>
              <w:rPr>
                <w:rFonts w:ascii="Times New Roman" w:eastAsia="Times New Roman" w:hAnsi="Times New Roman" w:cs="Times New Roman"/>
                <w:b/>
                <w:bCs/>
                <w:sz w:val="20"/>
                <w:szCs w:val="20"/>
                <w:lang w:val="uk-UA" w:eastAsia="uk-UA"/>
              </w:rPr>
            </w:pPr>
            <w:r>
              <w:rPr>
                <w:rFonts w:ascii="Times New Roman" w:eastAsia="Times New Roman" w:hAnsi="Times New Roman" w:cs="Times New Roman"/>
                <w:color w:val="000000"/>
                <w:sz w:val="20"/>
                <w:szCs w:val="20"/>
                <w:lang w:val="uk-UA" w:eastAsia="uk-UA"/>
              </w:rPr>
              <w:t>2) інформація про облігації емітента;</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p>
        </w:tc>
      </w:tr>
      <w:tr>
        <w:tc>
          <w:tcPr>
            <w:tcW w:w="8279" w:type="dxa"/>
            <w:tcMar>
              <w:top w:w="60" w:type="dxa"/>
              <w:left w:w="60" w:type="dxa"/>
              <w:bottom w:w="60" w:type="dxa"/>
              <w:right w:w="60" w:type="dxa"/>
            </w:tcMar>
            <w:vAlign w:val="center"/>
          </w:tcPr>
          <w:p>
            <w:pPr>
              <w:spacing w:after="0" w:line="240" w:lineRule="auto"/>
              <w:rPr>
                <w:rFonts w:ascii="Times New Roman" w:eastAsia="Times New Roman" w:hAnsi="Times New Roman" w:cs="Times New Roman"/>
                <w:b/>
                <w:bCs/>
                <w:sz w:val="20"/>
                <w:szCs w:val="20"/>
                <w:lang w:val="uk-UA" w:eastAsia="uk-UA"/>
              </w:rPr>
            </w:pPr>
            <w:r>
              <w:rPr>
                <w:rFonts w:ascii="Times New Roman" w:eastAsia="Times New Roman" w:hAnsi="Times New Roman" w:cs="Times New Roman"/>
                <w:color w:val="000000"/>
                <w:sz w:val="20"/>
                <w:szCs w:val="20"/>
                <w:lang w:val="uk-UA" w:eastAsia="uk-UA"/>
              </w:rPr>
              <w:t>3) інформація про інші цінні папери, випущені емітентом;</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p>
        </w:tc>
      </w:tr>
      <w:tr>
        <w:tc>
          <w:tcPr>
            <w:tcW w:w="8279" w:type="dxa"/>
            <w:tcMar>
              <w:top w:w="60" w:type="dxa"/>
              <w:left w:w="60" w:type="dxa"/>
              <w:bottom w:w="60" w:type="dxa"/>
              <w:right w:w="60" w:type="dxa"/>
            </w:tcMar>
            <w:vAlign w:val="center"/>
          </w:tcPr>
          <w:p>
            <w:pPr>
              <w:spacing w:after="0" w:line="240" w:lineRule="auto"/>
              <w:rPr>
                <w:rFonts w:ascii="Times New Roman" w:eastAsia="Times New Roman" w:hAnsi="Times New Roman" w:cs="Times New Roman"/>
                <w:b/>
                <w:bCs/>
                <w:sz w:val="20"/>
                <w:szCs w:val="20"/>
                <w:lang w:val="uk-UA" w:eastAsia="uk-UA"/>
              </w:rPr>
            </w:pPr>
            <w:r>
              <w:rPr>
                <w:rFonts w:ascii="Times New Roman" w:eastAsia="Times New Roman" w:hAnsi="Times New Roman" w:cs="Times New Roman"/>
                <w:color w:val="000000"/>
                <w:sz w:val="20"/>
                <w:szCs w:val="20"/>
                <w:lang w:val="uk-UA" w:eastAsia="uk-UA"/>
              </w:rPr>
              <w:t>4) інформація про похідні цінні папери емітента;</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p>
        </w:tc>
      </w:tr>
      <w:tr>
        <w:tc>
          <w:tcPr>
            <w:tcW w:w="8279" w:type="dxa"/>
            <w:tcMar>
              <w:top w:w="60" w:type="dxa"/>
              <w:left w:w="60" w:type="dxa"/>
              <w:bottom w:w="60" w:type="dxa"/>
              <w:right w:w="60" w:type="dxa"/>
            </w:tcMar>
            <w:vAlign w:val="center"/>
          </w:tcPr>
          <w:p>
            <w:pPr>
              <w:spacing w:after="0" w:line="240" w:lineRule="auto"/>
              <w:rPr>
                <w:rFonts w:ascii="Times New Roman" w:eastAsia="Times New Roman" w:hAnsi="Times New Roman" w:cs="Times New Roman"/>
                <w:b/>
                <w:bCs/>
                <w:sz w:val="20"/>
                <w:szCs w:val="20"/>
                <w:lang w:val="uk-UA" w:eastAsia="uk-UA"/>
              </w:rPr>
            </w:pPr>
            <w:r>
              <w:rPr>
                <w:rFonts w:ascii="Times New Roman" w:eastAsia="Times New Roman" w:hAnsi="Times New Roman" w:cs="Times New Roman"/>
                <w:color w:val="000000"/>
                <w:sz w:val="20"/>
                <w:szCs w:val="20"/>
                <w:lang w:val="uk-UA" w:eastAsia="uk-UA"/>
              </w:rPr>
              <w:t>6. Відомості щодо участі емітента в юридичних особах.</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r>
              <w:rPr>
                <w:rFonts w:ascii="Times New Roman" w:eastAsia="Times New Roman" w:hAnsi="Times New Roman" w:cs="Times New Roman"/>
                <w:b/>
                <w:sz w:val="24"/>
                <w:szCs w:val="24"/>
                <w:lang w:val="en-US" w:eastAsia="uk-UA"/>
              </w:rPr>
              <w:t>X</w:t>
            </w:r>
          </w:p>
        </w:tc>
      </w:tr>
      <w:tr>
        <w:tc>
          <w:tcPr>
            <w:tcW w:w="8279" w:type="dxa"/>
            <w:tcMar>
              <w:top w:w="60" w:type="dxa"/>
              <w:left w:w="60" w:type="dxa"/>
              <w:bottom w:w="60" w:type="dxa"/>
              <w:right w:w="60" w:type="dxa"/>
            </w:tcMar>
          </w:tcPr>
          <w:p>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color w:val="000000"/>
                <w:sz w:val="20"/>
                <w:szCs w:val="20"/>
                <w:lang w:val="uk-UA" w:eastAsia="ru-RU"/>
              </w:rPr>
              <w:t>7. Інформація щодо корпоративного секретаря.</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en-US" w:eastAsia="uk-UA"/>
              </w:rPr>
            </w:pPr>
          </w:p>
        </w:tc>
      </w:tr>
      <w:tr>
        <w:tc>
          <w:tcPr>
            <w:tcW w:w="8279" w:type="dxa"/>
            <w:tcMar>
              <w:top w:w="60" w:type="dxa"/>
              <w:left w:w="60" w:type="dxa"/>
              <w:bottom w:w="60" w:type="dxa"/>
              <w:right w:w="60" w:type="dxa"/>
            </w:tcMar>
            <w:vAlign w:val="center"/>
          </w:tcPr>
          <w:p>
            <w:pPr>
              <w:spacing w:after="0" w:line="240" w:lineRule="auto"/>
              <w:rPr>
                <w:rFonts w:ascii="Times New Roman" w:eastAsia="Times New Roman" w:hAnsi="Times New Roman" w:cs="Times New Roman"/>
                <w:b/>
                <w:bCs/>
                <w:sz w:val="20"/>
                <w:szCs w:val="20"/>
                <w:lang w:val="uk-UA" w:eastAsia="uk-UA"/>
              </w:rPr>
            </w:pPr>
            <w:r>
              <w:rPr>
                <w:rFonts w:ascii="Times New Roman" w:eastAsia="Times New Roman" w:hAnsi="Times New Roman" w:cs="Times New Roman"/>
                <w:color w:val="000000"/>
                <w:sz w:val="20"/>
                <w:szCs w:val="20"/>
                <w:lang w:val="uk-UA" w:eastAsia="uk-UA"/>
              </w:rPr>
              <w:t>8. Інформація про вчинення значних правочинів.</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p>
        </w:tc>
      </w:tr>
      <w:tr>
        <w:tc>
          <w:tcPr>
            <w:tcW w:w="8279" w:type="dxa"/>
            <w:tcMar>
              <w:top w:w="60" w:type="dxa"/>
              <w:left w:w="60" w:type="dxa"/>
              <w:bottom w:w="60" w:type="dxa"/>
              <w:right w:w="60" w:type="dxa"/>
            </w:tcMar>
            <w:vAlign w:val="center"/>
          </w:tcPr>
          <w:p>
            <w:pPr>
              <w:spacing w:after="0" w:line="240" w:lineRule="auto"/>
              <w:rPr>
                <w:rFonts w:ascii="Times New Roman" w:eastAsia="Times New Roman" w:hAnsi="Times New Roman" w:cs="Times New Roman"/>
                <w:b/>
                <w:bCs/>
                <w:sz w:val="20"/>
                <w:szCs w:val="20"/>
                <w:lang w:val="uk-UA" w:eastAsia="uk-UA"/>
              </w:rPr>
            </w:pPr>
            <w:r>
              <w:rPr>
                <w:rFonts w:ascii="Times New Roman" w:eastAsia="Times New Roman" w:hAnsi="Times New Roman" w:cs="Times New Roman"/>
                <w:color w:val="000000"/>
                <w:sz w:val="20"/>
                <w:szCs w:val="20"/>
                <w:lang w:val="uk-UA" w:eastAsia="uk-UA"/>
              </w:rPr>
              <w:t>9. Інформація про вчинення правочинів, щодо вчинення яких є заінтересованість, осіб, заінтересованих у вчиненні товариством правочинів із заінтересованістю, та обставини, існування яких створює заінтересованість.</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p>
        </w:tc>
      </w:tr>
      <w:tr>
        <w:trPr>
          <w:trHeight w:val="274"/>
        </w:trPr>
        <w:tc>
          <w:tcPr>
            <w:tcW w:w="8279" w:type="dxa"/>
            <w:tcMar>
              <w:top w:w="60" w:type="dxa"/>
              <w:left w:w="60" w:type="dxa"/>
              <w:bottom w:w="60" w:type="dxa"/>
              <w:right w:w="60" w:type="dxa"/>
            </w:tcMar>
            <w:vAlign w:val="center"/>
          </w:tcPr>
          <w:p>
            <w:pPr>
              <w:spacing w:after="0" w:line="240" w:lineRule="auto"/>
              <w:rPr>
                <w:rFonts w:ascii="Times New Roman" w:eastAsia="Times New Roman" w:hAnsi="Times New Roman" w:cs="Times New Roman"/>
                <w:b/>
                <w:sz w:val="20"/>
                <w:szCs w:val="20"/>
                <w:lang w:val="uk-UA" w:eastAsia="uk-UA"/>
              </w:rPr>
            </w:pPr>
            <w:r>
              <w:rPr>
                <w:rFonts w:ascii="Times New Roman" w:eastAsia="Times New Roman" w:hAnsi="Times New Roman" w:cs="Times New Roman"/>
                <w:color w:val="000000"/>
                <w:sz w:val="20"/>
                <w:szCs w:val="20"/>
                <w:lang w:val="uk-UA" w:eastAsia="uk-UA"/>
              </w:rPr>
              <w:t>10.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 та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r>
              <w:rPr>
                <w:rFonts w:ascii="Times New Roman" w:eastAsia="Times New Roman" w:hAnsi="Times New Roman" w:cs="Times New Roman"/>
                <w:b/>
                <w:sz w:val="24"/>
                <w:szCs w:val="24"/>
                <w:lang w:val="en-US" w:eastAsia="uk-UA"/>
              </w:rPr>
              <w:t>X</w:t>
            </w:r>
          </w:p>
        </w:tc>
      </w:tr>
      <w:tr>
        <w:tc>
          <w:tcPr>
            <w:tcW w:w="8279" w:type="dxa"/>
            <w:tcMar>
              <w:top w:w="60" w:type="dxa"/>
              <w:left w:w="60" w:type="dxa"/>
              <w:bottom w:w="60" w:type="dxa"/>
              <w:right w:w="60" w:type="dxa"/>
            </w:tcMar>
          </w:tcPr>
          <w:p>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color w:val="000000"/>
                <w:sz w:val="20"/>
                <w:szCs w:val="20"/>
                <w:lang w:val="uk-UA" w:eastAsia="ru-RU"/>
              </w:rPr>
              <w:t>11. Інформація про забезпечення випуску боргових цінних паперів.</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p>
        </w:tc>
      </w:tr>
      <w:tr>
        <w:tc>
          <w:tcPr>
            <w:tcW w:w="8279" w:type="dxa"/>
            <w:tcMar>
              <w:top w:w="60" w:type="dxa"/>
              <w:left w:w="60" w:type="dxa"/>
              <w:bottom w:w="60" w:type="dxa"/>
              <w:right w:w="60" w:type="dxa"/>
            </w:tcMar>
          </w:tcPr>
          <w:p>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color w:val="000000"/>
                <w:sz w:val="20"/>
                <w:szCs w:val="20"/>
                <w:lang w:val="uk-UA" w:eastAsia="ru-RU"/>
              </w:rPr>
              <w:t>12. Інформація про конвертацію цінних паперів.</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eastAsia="uk-UA"/>
              </w:rPr>
            </w:pPr>
          </w:p>
        </w:tc>
      </w:tr>
      <w:tr>
        <w:tc>
          <w:tcPr>
            <w:tcW w:w="8279" w:type="dxa"/>
            <w:tcMar>
              <w:top w:w="60" w:type="dxa"/>
              <w:left w:w="60" w:type="dxa"/>
              <w:bottom w:w="60" w:type="dxa"/>
              <w:right w:w="60" w:type="dxa"/>
            </w:tcMar>
          </w:tcPr>
          <w:p>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color w:val="000000"/>
                <w:sz w:val="20"/>
                <w:szCs w:val="20"/>
                <w:lang w:val="uk-UA" w:eastAsia="ru-RU"/>
              </w:rPr>
              <w:t>13. Інформація про заміну управителя.</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en-US" w:eastAsia="uk-UA"/>
              </w:rPr>
            </w:pPr>
          </w:p>
        </w:tc>
      </w:tr>
      <w:tr>
        <w:tc>
          <w:tcPr>
            <w:tcW w:w="8279" w:type="dxa"/>
            <w:tcMar>
              <w:top w:w="60" w:type="dxa"/>
              <w:left w:w="60" w:type="dxa"/>
              <w:bottom w:w="60" w:type="dxa"/>
              <w:right w:w="60" w:type="dxa"/>
            </w:tcMar>
          </w:tcPr>
          <w:p>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color w:val="000000"/>
                <w:sz w:val="20"/>
                <w:szCs w:val="20"/>
                <w:lang w:val="uk-UA" w:eastAsia="ru-RU"/>
              </w:rPr>
              <w:t>14. Інформація про керуючого іпотекою.</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en-US" w:eastAsia="uk-UA"/>
              </w:rPr>
            </w:pPr>
          </w:p>
        </w:tc>
      </w:tr>
      <w:tr>
        <w:tc>
          <w:tcPr>
            <w:tcW w:w="8279" w:type="dxa"/>
            <w:tcMar>
              <w:top w:w="60" w:type="dxa"/>
              <w:left w:w="60" w:type="dxa"/>
              <w:bottom w:w="60" w:type="dxa"/>
              <w:right w:w="60" w:type="dxa"/>
            </w:tcMar>
          </w:tcPr>
          <w:p>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color w:val="000000"/>
                <w:sz w:val="20"/>
                <w:szCs w:val="20"/>
                <w:lang w:val="uk-UA" w:eastAsia="ru-RU"/>
              </w:rPr>
              <w:t>15. Інформація про трансформацію (перетворення) іпотечних активів.</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eastAsia="uk-UA"/>
              </w:rPr>
            </w:pPr>
          </w:p>
        </w:tc>
      </w:tr>
      <w:tr>
        <w:tc>
          <w:tcPr>
            <w:tcW w:w="8279" w:type="dxa"/>
            <w:tcMar>
              <w:top w:w="60" w:type="dxa"/>
              <w:left w:w="60" w:type="dxa"/>
              <w:bottom w:w="60" w:type="dxa"/>
              <w:right w:w="60" w:type="dxa"/>
            </w:tcMar>
          </w:tcPr>
          <w:p>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color w:val="000000"/>
                <w:sz w:val="20"/>
                <w:szCs w:val="20"/>
                <w:lang w:val="uk-UA" w:eastAsia="ru-RU"/>
              </w:rPr>
              <w:t xml:space="preserve">16. Інформація про зміни в реєстрі забезпечення іпотечних сертифікатів за кожним консолідованим іпотечним боргом. </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eastAsia="uk-UA"/>
              </w:rPr>
            </w:pPr>
          </w:p>
        </w:tc>
      </w:tr>
      <w:tr>
        <w:tc>
          <w:tcPr>
            <w:tcW w:w="8279" w:type="dxa"/>
            <w:tcMar>
              <w:top w:w="60" w:type="dxa"/>
              <w:left w:w="60" w:type="dxa"/>
              <w:bottom w:w="60" w:type="dxa"/>
              <w:right w:w="60" w:type="dxa"/>
            </w:tcMar>
          </w:tcPr>
          <w:p>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color w:val="000000"/>
                <w:sz w:val="20"/>
                <w:szCs w:val="20"/>
                <w:lang w:val="uk-UA" w:eastAsia="ru-RU"/>
              </w:rPr>
              <w:t>17. Інформація про іпотечне покриття:</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en-US" w:eastAsia="uk-UA"/>
              </w:rPr>
            </w:pPr>
          </w:p>
        </w:tc>
      </w:tr>
      <w:tr>
        <w:tc>
          <w:tcPr>
            <w:tcW w:w="8279" w:type="dxa"/>
            <w:tcMar>
              <w:top w:w="60" w:type="dxa"/>
              <w:left w:w="60" w:type="dxa"/>
              <w:bottom w:w="60" w:type="dxa"/>
              <w:right w:w="60" w:type="dxa"/>
            </w:tcMar>
            <w:vAlign w:val="center"/>
          </w:tcPr>
          <w:p>
            <w:pPr>
              <w:spacing w:after="0" w:line="240" w:lineRule="auto"/>
              <w:rPr>
                <w:rFonts w:ascii="Times New Roman" w:eastAsia="Times New Roman" w:hAnsi="Times New Roman" w:cs="Times New Roman"/>
                <w:b/>
                <w:bCs/>
                <w:sz w:val="20"/>
                <w:szCs w:val="20"/>
                <w:lang w:val="uk-UA" w:eastAsia="uk-UA"/>
              </w:rPr>
            </w:pPr>
            <w:r>
              <w:rPr>
                <w:rFonts w:ascii="Times New Roman" w:eastAsia="Times New Roman" w:hAnsi="Times New Roman" w:cs="Times New Roman"/>
                <w:color w:val="000000"/>
                <w:sz w:val="20"/>
                <w:szCs w:val="20"/>
                <w:lang w:val="uk-UA" w:eastAsia="uk-UA"/>
              </w:rPr>
              <w:t>1) інформація про заміну іпотечних активів у складі іпотечного покриття;</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p>
        </w:tc>
      </w:tr>
      <w:tr>
        <w:tc>
          <w:tcPr>
            <w:tcW w:w="8279" w:type="dxa"/>
            <w:tcMar>
              <w:top w:w="60" w:type="dxa"/>
              <w:left w:w="60" w:type="dxa"/>
              <w:bottom w:w="60" w:type="dxa"/>
              <w:right w:w="60" w:type="dxa"/>
            </w:tcMar>
            <w:vAlign w:val="center"/>
          </w:tcPr>
          <w:p>
            <w:pPr>
              <w:spacing w:after="0" w:line="240" w:lineRule="auto"/>
              <w:rPr>
                <w:rFonts w:ascii="Times New Roman" w:eastAsia="Times New Roman" w:hAnsi="Times New Roman" w:cs="Times New Roman"/>
                <w:b/>
                <w:bCs/>
                <w:sz w:val="20"/>
                <w:szCs w:val="20"/>
                <w:lang w:val="uk-UA" w:eastAsia="uk-UA"/>
              </w:rPr>
            </w:pPr>
            <w:r>
              <w:rPr>
                <w:rFonts w:ascii="Times New Roman" w:eastAsia="Times New Roman" w:hAnsi="Times New Roman" w:cs="Times New Roman"/>
                <w:color w:val="000000"/>
                <w:sz w:val="20"/>
                <w:szCs w:val="20"/>
                <w:lang w:val="uk-UA" w:eastAsia="uk-UA"/>
              </w:rPr>
              <w:t>2)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p>
        </w:tc>
      </w:tr>
      <w:tr>
        <w:tc>
          <w:tcPr>
            <w:tcW w:w="8279" w:type="dxa"/>
            <w:tcMar>
              <w:top w:w="60" w:type="dxa"/>
              <w:left w:w="60" w:type="dxa"/>
              <w:bottom w:w="60" w:type="dxa"/>
              <w:right w:w="60" w:type="dxa"/>
            </w:tcMar>
            <w:vAlign w:val="center"/>
          </w:tcPr>
          <w:p>
            <w:pPr>
              <w:spacing w:after="0" w:line="240" w:lineRule="auto"/>
              <w:rPr>
                <w:rFonts w:ascii="Times New Roman" w:eastAsia="Times New Roman" w:hAnsi="Times New Roman" w:cs="Times New Roman"/>
                <w:b/>
                <w:bCs/>
                <w:sz w:val="20"/>
                <w:szCs w:val="20"/>
                <w:lang w:val="uk-UA" w:eastAsia="uk-UA"/>
              </w:rPr>
            </w:pPr>
            <w:r>
              <w:rPr>
                <w:rFonts w:ascii="Times New Roman" w:eastAsia="Times New Roman" w:hAnsi="Times New Roman" w:cs="Times New Roman"/>
                <w:color w:val="000000"/>
                <w:sz w:val="20"/>
                <w:szCs w:val="20"/>
                <w:lang w:val="uk-UA" w:eastAsia="uk-UA"/>
              </w:rPr>
              <w:t>3) інформація про співвідношення розміру іпотечного покриття з розміром (сумою) зобов'язань за іпотечними облігаціями з цим іпотечним покриттям на кожну дату після замін іпотечних активів у складі іпотечного покриття, які відбулись протягом звітного періоду;</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p>
        </w:tc>
      </w:tr>
      <w:tr>
        <w:tc>
          <w:tcPr>
            <w:tcW w:w="8279" w:type="dxa"/>
            <w:tcMar>
              <w:top w:w="60" w:type="dxa"/>
              <w:left w:w="60" w:type="dxa"/>
              <w:bottom w:w="60" w:type="dxa"/>
              <w:right w:w="60" w:type="dxa"/>
            </w:tcMar>
            <w:vAlign w:val="center"/>
          </w:tcPr>
          <w:p>
            <w:pPr>
              <w:spacing w:after="0" w:line="240" w:lineRule="auto"/>
              <w:rPr>
                <w:rFonts w:ascii="Times New Roman" w:eastAsia="Times New Roman" w:hAnsi="Times New Roman" w:cs="Times New Roman"/>
                <w:b/>
                <w:bCs/>
                <w:sz w:val="20"/>
                <w:szCs w:val="20"/>
                <w:lang w:val="uk-UA" w:eastAsia="uk-UA"/>
              </w:rPr>
            </w:pPr>
            <w:r>
              <w:rPr>
                <w:rFonts w:ascii="Times New Roman" w:eastAsia="Times New Roman" w:hAnsi="Times New Roman" w:cs="Times New Roman"/>
                <w:color w:val="000000"/>
                <w:sz w:val="20"/>
                <w:szCs w:val="20"/>
                <w:lang w:val="uk-UA" w:eastAsia="uk-UA"/>
              </w:rPr>
              <w:t>4)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p>
        </w:tc>
      </w:tr>
      <w:tr>
        <w:tc>
          <w:tcPr>
            <w:tcW w:w="8279" w:type="dxa"/>
            <w:tcMar>
              <w:top w:w="60" w:type="dxa"/>
              <w:left w:w="60" w:type="dxa"/>
              <w:bottom w:w="60" w:type="dxa"/>
              <w:right w:w="60" w:type="dxa"/>
            </w:tcMar>
          </w:tcPr>
          <w:p>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color w:val="000000"/>
                <w:sz w:val="20"/>
                <w:szCs w:val="20"/>
                <w:lang w:val="uk-UA" w:eastAsia="ru-RU"/>
              </w:rPr>
              <w:t>18. Інформація про заміну фінансової установи, яка здійснює обслуговування іпотечних активів.</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p>
        </w:tc>
      </w:tr>
      <w:tr>
        <w:tc>
          <w:tcPr>
            <w:tcW w:w="8279" w:type="dxa"/>
            <w:tcMar>
              <w:top w:w="60" w:type="dxa"/>
              <w:left w:w="60" w:type="dxa"/>
              <w:bottom w:w="60" w:type="dxa"/>
              <w:right w:w="60" w:type="dxa"/>
            </w:tcMar>
          </w:tcPr>
          <w:p>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color w:val="000000"/>
                <w:sz w:val="20"/>
                <w:szCs w:val="20"/>
                <w:lang w:val="uk-UA" w:eastAsia="ru-RU"/>
              </w:rPr>
              <w:t>19. Проміжна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p>
        </w:tc>
      </w:tr>
      <w:tr>
        <w:tc>
          <w:tcPr>
            <w:tcW w:w="8279" w:type="dxa"/>
            <w:tcMar>
              <w:top w:w="60" w:type="dxa"/>
              <w:left w:w="60" w:type="dxa"/>
              <w:bottom w:w="60" w:type="dxa"/>
              <w:right w:w="60" w:type="dxa"/>
            </w:tcMar>
          </w:tcPr>
          <w:p>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color w:val="000000"/>
                <w:sz w:val="20"/>
                <w:szCs w:val="20"/>
                <w:lang w:val="uk-UA" w:eastAsia="ru-RU"/>
              </w:rPr>
              <w:lastRenderedPageBreak/>
              <w:t>20. Звіт про стан об'єкта нерухомості (у разі емісії цільових облігацій підприємств, виконання зобов'язань за якими здійснюється шляхом передання об'єкта (частини об'єкта) житлового будівництва).</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p>
        </w:tc>
      </w:tr>
      <w:tr>
        <w:tc>
          <w:tcPr>
            <w:tcW w:w="8279" w:type="dxa"/>
            <w:tcMar>
              <w:top w:w="60" w:type="dxa"/>
              <w:left w:w="60" w:type="dxa"/>
              <w:bottom w:w="60" w:type="dxa"/>
              <w:right w:w="60" w:type="dxa"/>
            </w:tcMar>
          </w:tcPr>
          <w:p>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color w:val="000000"/>
                <w:sz w:val="20"/>
                <w:szCs w:val="20"/>
                <w:lang w:val="uk-UA" w:eastAsia="ru-RU"/>
              </w:rPr>
              <w:t>21. Проміжна фінансова звітність емітента, складена за положеннями (стандартами) бухгалтерського обліку.</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p>
        </w:tc>
      </w:tr>
      <w:tr>
        <w:tc>
          <w:tcPr>
            <w:tcW w:w="8279" w:type="dxa"/>
            <w:tcMar>
              <w:top w:w="60" w:type="dxa"/>
              <w:left w:w="60" w:type="dxa"/>
              <w:bottom w:w="60" w:type="dxa"/>
              <w:right w:w="60" w:type="dxa"/>
            </w:tcMar>
          </w:tcPr>
          <w:p>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color w:val="000000"/>
                <w:sz w:val="20"/>
                <w:szCs w:val="20"/>
                <w:lang w:val="uk-UA" w:eastAsia="ru-RU"/>
              </w:rPr>
              <w:t>22. Проміжна фінансова звітність емітента, складена за міжнародними стандартами фінансової звітності.</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p>
        </w:tc>
      </w:tr>
      <w:tr>
        <w:tc>
          <w:tcPr>
            <w:tcW w:w="8279" w:type="dxa"/>
            <w:tcMar>
              <w:top w:w="60" w:type="dxa"/>
              <w:left w:w="60" w:type="dxa"/>
              <w:bottom w:w="60" w:type="dxa"/>
              <w:right w:w="60" w:type="dxa"/>
            </w:tcMar>
          </w:tcPr>
          <w:p>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color w:val="000000"/>
                <w:sz w:val="20"/>
                <w:szCs w:val="20"/>
                <w:lang w:val="uk-UA" w:eastAsia="ru-RU"/>
              </w:rPr>
              <w:t>23. Висновок про огляд проміжної фінансової звітності, підготовлений аудитором (аудиторською фірмою).</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p>
        </w:tc>
      </w:tr>
      <w:tr>
        <w:tc>
          <w:tcPr>
            <w:tcW w:w="8279" w:type="dxa"/>
            <w:tcMar>
              <w:top w:w="60" w:type="dxa"/>
              <w:left w:w="60" w:type="dxa"/>
              <w:bottom w:w="60" w:type="dxa"/>
              <w:right w:w="60" w:type="dxa"/>
            </w:tcMar>
            <w:vAlign w:val="center"/>
          </w:tcPr>
          <w:p>
            <w:pPr>
              <w:spacing w:after="0" w:line="240" w:lineRule="auto"/>
              <w:rPr>
                <w:rFonts w:ascii="Times New Roman" w:eastAsia="Times New Roman" w:hAnsi="Times New Roman" w:cs="Times New Roman"/>
                <w:b/>
                <w:bCs/>
                <w:sz w:val="20"/>
                <w:szCs w:val="20"/>
                <w:lang w:val="uk-UA" w:eastAsia="uk-UA"/>
              </w:rPr>
            </w:pPr>
            <w:r>
              <w:rPr>
                <w:rFonts w:ascii="Times New Roman" w:eastAsia="Times New Roman" w:hAnsi="Times New Roman" w:cs="Times New Roman"/>
                <w:color w:val="000000"/>
                <w:sz w:val="20"/>
                <w:szCs w:val="20"/>
                <w:lang w:val="uk-UA" w:eastAsia="uk-UA"/>
              </w:rPr>
              <w:t>24. Проміжний звіт керівництва.</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r>
              <w:rPr>
                <w:rFonts w:ascii="Times New Roman" w:eastAsia="Times New Roman" w:hAnsi="Times New Roman" w:cs="Times New Roman"/>
                <w:b/>
                <w:color w:val="000000"/>
                <w:sz w:val="24"/>
                <w:szCs w:val="20"/>
                <w:lang w:val="en-US" w:eastAsia="uk-UA"/>
              </w:rPr>
              <w:t>X</w:t>
            </w:r>
          </w:p>
        </w:tc>
      </w:tr>
      <w:tr>
        <w:tc>
          <w:tcPr>
            <w:tcW w:w="8279" w:type="dxa"/>
            <w:tcMar>
              <w:top w:w="60" w:type="dxa"/>
              <w:left w:w="60" w:type="dxa"/>
              <w:bottom w:w="60" w:type="dxa"/>
              <w:right w:w="60" w:type="dxa"/>
            </w:tcMar>
          </w:tcPr>
          <w:p>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color w:val="000000"/>
                <w:sz w:val="20"/>
                <w:szCs w:val="20"/>
                <w:lang w:val="uk-UA" w:eastAsia="ru-RU"/>
              </w:rPr>
              <w:t>25. Твердження щодо проміжної інформації.</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p>
        </w:tc>
      </w:tr>
      <w:tr>
        <w:tc>
          <w:tcPr>
            <w:tcW w:w="8279" w:type="dxa"/>
            <w:tcMar>
              <w:top w:w="60" w:type="dxa"/>
              <w:left w:w="60" w:type="dxa"/>
              <w:bottom w:w="60" w:type="dxa"/>
              <w:right w:w="60" w:type="dxa"/>
            </w:tcMar>
          </w:tcPr>
          <w:p>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color w:val="000000"/>
                <w:sz w:val="20"/>
                <w:szCs w:val="20"/>
                <w:lang w:val="uk-UA" w:eastAsia="ru-RU"/>
              </w:rPr>
              <w:t>26. Примітки.</w:t>
            </w:r>
          </w:p>
        </w:tc>
        <w:tc>
          <w:tcPr>
            <w:tcW w:w="1987" w:type="dxa"/>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sz w:val="24"/>
                <w:szCs w:val="24"/>
                <w:lang w:val="uk-UA" w:eastAsia="uk-UA"/>
              </w:rPr>
            </w:pPr>
            <w:r>
              <w:rPr>
                <w:rFonts w:ascii="Times New Roman" w:eastAsia="Times New Roman" w:hAnsi="Times New Roman" w:cs="Times New Roman"/>
                <w:b/>
                <w:sz w:val="24"/>
                <w:szCs w:val="24"/>
                <w:lang w:val="en-US" w:eastAsia="uk-UA"/>
              </w:rPr>
              <w:t>X</w:t>
            </w:r>
          </w:p>
        </w:tc>
      </w:tr>
    </w:tbl>
    <w:p>
      <w:pPr>
        <w:spacing w:after="0" w:line="240" w:lineRule="auto"/>
        <w:rPr>
          <w:rFonts w:ascii="Times New Roman" w:eastAsia="Times New Roman" w:hAnsi="Times New Roman" w:cs="Times New Roman"/>
          <w:b/>
          <w:sz w:val="20"/>
          <w:szCs w:val="20"/>
          <w:lang w:val="uk-UA" w:eastAsia="uk-UA"/>
        </w:rPr>
      </w:pP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b/>
          <w:sz w:val="20"/>
          <w:szCs w:val="20"/>
          <w:lang w:val="uk-UA" w:eastAsia="uk-UA"/>
        </w:rPr>
        <w:t xml:space="preserve">Примітки : </w:t>
      </w:r>
      <w:r>
        <w:rPr>
          <w:rFonts w:ascii="Times New Roman" w:eastAsia="Times New Roman" w:hAnsi="Times New Roman" w:cs="Times New Roman"/>
          <w:sz w:val="20"/>
          <w:szCs w:val="20"/>
          <w:lang w:eastAsia="uk-UA"/>
        </w:rPr>
        <w:t>ПрАТ "КАРЛСБЕРГ УКРАЇНА" є приватним акц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онерним товариством, 100 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дсотк</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 акц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й якого прямо належать одн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й особ</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Ем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тент розкриває пром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жну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ю зг</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дно пункту 10 статт</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126 Закону України "Про ринки кап</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талу та орган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зован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товарн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ринки" (з</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нами, внесеними зг</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дно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з Законом № 1587-</w:t>
      </w:r>
      <w:r>
        <w:rPr>
          <w:rFonts w:ascii="Times New Roman" w:eastAsia="Times New Roman" w:hAnsi="Times New Roman" w:cs="Times New Roman"/>
          <w:sz w:val="20"/>
          <w:szCs w:val="20"/>
          <w:lang w:val="en-US" w:eastAsia="uk-UA"/>
        </w:rPr>
        <w:t>IX</w:t>
      </w:r>
      <w:r>
        <w:rPr>
          <w:rFonts w:ascii="Times New Roman" w:eastAsia="Times New Roman" w:hAnsi="Times New Roman" w:cs="Times New Roman"/>
          <w:sz w:val="20"/>
          <w:szCs w:val="20"/>
          <w:lang w:eastAsia="uk-UA"/>
        </w:rPr>
        <w:t xml:space="preserve"> 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д 30.06.2021р.) як п</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дприємство, що становить сусп</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льний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нтерес. </w:t>
      </w: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   З причин, що зазначен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нижче, пром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жна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 ем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тента не 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стить наступних даних: </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val="en-US" w:eastAsia="uk-UA"/>
        </w:rPr>
        <w:t>C</w:t>
      </w:r>
      <w:r>
        <w:rPr>
          <w:rFonts w:ascii="Times New Roman" w:eastAsia="Times New Roman" w:hAnsi="Times New Roman" w:cs="Times New Roman"/>
          <w:sz w:val="20"/>
          <w:szCs w:val="20"/>
          <w:lang w:eastAsia="uk-UA"/>
        </w:rPr>
        <w:t>кладова 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сту "Основн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домост</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про ем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тента" 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стить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ю про засновник</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 п</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дприємства, але зазначен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особи на к</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нець пер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оду акц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ями ем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тента не волод</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ють. </w:t>
      </w: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val="en-US" w:eastAsia="uk-UA"/>
        </w:rPr>
        <w:t>C</w:t>
      </w:r>
      <w:r>
        <w:rPr>
          <w:rFonts w:ascii="Times New Roman" w:eastAsia="Times New Roman" w:hAnsi="Times New Roman" w:cs="Times New Roman"/>
          <w:sz w:val="20"/>
          <w:szCs w:val="20"/>
          <w:lang w:eastAsia="uk-UA"/>
        </w:rPr>
        <w:t>кладова 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сту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 про обл</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гац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ї ем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тента" не включена до складу пром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жної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ї - за весь пер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од д</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яльност</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ем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тент не реєстрував випуск</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 обл</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гац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й.</w:t>
      </w: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val="en-US" w:eastAsia="uk-UA"/>
        </w:rPr>
        <w:t>C</w:t>
      </w:r>
      <w:r>
        <w:rPr>
          <w:rFonts w:ascii="Times New Roman" w:eastAsia="Times New Roman" w:hAnsi="Times New Roman" w:cs="Times New Roman"/>
          <w:sz w:val="20"/>
          <w:szCs w:val="20"/>
          <w:lang w:eastAsia="uk-UA"/>
        </w:rPr>
        <w:t>кладова 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сту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я про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нш</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папери, випущен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ем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тентом" не включена до складу пром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жної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ї - за весь пер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од д</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яльност</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ем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тент не реєстрував випуск</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в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нших 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нних папер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 кр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м акц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й.</w:t>
      </w: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val="en-US" w:eastAsia="uk-UA"/>
        </w:rPr>
        <w:t>C</w:t>
      </w:r>
      <w:r>
        <w:rPr>
          <w:rFonts w:ascii="Times New Roman" w:eastAsia="Times New Roman" w:hAnsi="Times New Roman" w:cs="Times New Roman"/>
          <w:sz w:val="20"/>
          <w:szCs w:val="20"/>
          <w:lang w:eastAsia="uk-UA"/>
        </w:rPr>
        <w:t>кладова 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сту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 про пох</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дн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папери ем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тента" не включена до складу пром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жної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ї - за весь пер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од д</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яльност</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ем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тент не реєстрував випуск</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 пох</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дних 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нних папер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w:t>
      </w: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val="en-US" w:eastAsia="uk-UA"/>
        </w:rPr>
        <w:t>C</w:t>
      </w:r>
      <w:r>
        <w:rPr>
          <w:rFonts w:ascii="Times New Roman" w:eastAsia="Times New Roman" w:hAnsi="Times New Roman" w:cs="Times New Roman"/>
          <w:sz w:val="20"/>
          <w:szCs w:val="20"/>
          <w:lang w:eastAsia="uk-UA"/>
        </w:rPr>
        <w:t>кладова 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сту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 щодо корпоративного секретаря" не включена до складу пром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жної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ї,  оск</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льки посада корпоративного секретаря в Товариств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не запроваджена.</w:t>
      </w: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val="en-US" w:eastAsia="uk-UA"/>
        </w:rPr>
        <w:t>C</w:t>
      </w:r>
      <w:r>
        <w:rPr>
          <w:rFonts w:ascii="Times New Roman" w:eastAsia="Times New Roman" w:hAnsi="Times New Roman" w:cs="Times New Roman"/>
          <w:sz w:val="20"/>
          <w:szCs w:val="20"/>
          <w:lang w:eastAsia="uk-UA"/>
        </w:rPr>
        <w:t>кладова 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сту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 про вчинення значних правочин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 не включена до складу пром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жної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ї,  оск</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льки за зв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тний пер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од ем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тент не приймав зазначених 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шень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не вчиняв значних правочин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в. </w:t>
      </w: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val="en-US" w:eastAsia="uk-UA"/>
        </w:rPr>
        <w:t>C</w:t>
      </w:r>
      <w:r>
        <w:rPr>
          <w:rFonts w:ascii="Times New Roman" w:eastAsia="Times New Roman" w:hAnsi="Times New Roman" w:cs="Times New Roman"/>
          <w:sz w:val="20"/>
          <w:szCs w:val="20"/>
          <w:lang w:eastAsia="uk-UA"/>
        </w:rPr>
        <w:t>кладова 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сту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 про вчинення правочин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 щодо вчинення яких є за</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нтересован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сть, ос</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б, за</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нтересованих у вчиненн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Товариством правочин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в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з за</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нтересован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стю, та обставини,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снування яких створює за</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нтересован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сть" не включена до складу пром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жної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ї,  оск</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льки за зв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тний пер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од таких правочин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 не було.</w:t>
      </w: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val="en-US" w:eastAsia="uk-UA"/>
        </w:rPr>
        <w:t>C</w:t>
      </w:r>
      <w:r>
        <w:rPr>
          <w:rFonts w:ascii="Times New Roman" w:eastAsia="Times New Roman" w:hAnsi="Times New Roman" w:cs="Times New Roman"/>
          <w:sz w:val="20"/>
          <w:szCs w:val="20"/>
          <w:lang w:eastAsia="uk-UA"/>
        </w:rPr>
        <w:t>кладова 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сту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 про забезпечення випуску боргових 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нних папер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 не включена до складу пром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жної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ї ,  оск</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льки за весь пер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од д</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яльност</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ем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тент не реєстрував випуск</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 боргових 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нних папер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w:t>
      </w: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   У зв'язку з тим, що ем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тент не зд</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йснював випуск</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в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потечних 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нних папер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 до складу пром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жної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ї не включена:</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val="en-US" w:eastAsia="uk-UA"/>
        </w:rPr>
        <w:t>C</w:t>
      </w:r>
      <w:r>
        <w:rPr>
          <w:rFonts w:ascii="Times New Roman" w:eastAsia="Times New Roman" w:hAnsi="Times New Roman" w:cs="Times New Roman"/>
          <w:sz w:val="20"/>
          <w:szCs w:val="20"/>
          <w:lang w:eastAsia="uk-UA"/>
        </w:rPr>
        <w:t>кладова 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сту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 про конвертац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ю 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нних папер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в"; </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val="en-US" w:eastAsia="uk-UA"/>
        </w:rPr>
        <w:t>C</w:t>
      </w:r>
      <w:r>
        <w:rPr>
          <w:rFonts w:ascii="Times New Roman" w:eastAsia="Times New Roman" w:hAnsi="Times New Roman" w:cs="Times New Roman"/>
          <w:sz w:val="20"/>
          <w:szCs w:val="20"/>
          <w:lang w:eastAsia="uk-UA"/>
        </w:rPr>
        <w:t>кладова 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сту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 про зам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ну управителя";  </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val="en-US" w:eastAsia="uk-UA"/>
        </w:rPr>
        <w:t>C</w:t>
      </w:r>
      <w:r>
        <w:rPr>
          <w:rFonts w:ascii="Times New Roman" w:eastAsia="Times New Roman" w:hAnsi="Times New Roman" w:cs="Times New Roman"/>
          <w:sz w:val="20"/>
          <w:szCs w:val="20"/>
          <w:lang w:eastAsia="uk-UA"/>
        </w:rPr>
        <w:t>кладова 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сту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я про керуючого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потекою"; </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val="en-US" w:eastAsia="uk-UA"/>
        </w:rPr>
        <w:t>C</w:t>
      </w:r>
      <w:r>
        <w:rPr>
          <w:rFonts w:ascii="Times New Roman" w:eastAsia="Times New Roman" w:hAnsi="Times New Roman" w:cs="Times New Roman"/>
          <w:sz w:val="20"/>
          <w:szCs w:val="20"/>
          <w:lang w:eastAsia="uk-UA"/>
        </w:rPr>
        <w:t>кладова 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сту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 про трансформац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ю (перетворення)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потечних актив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в"; </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val="en-US" w:eastAsia="uk-UA"/>
        </w:rPr>
        <w:t>C</w:t>
      </w:r>
      <w:r>
        <w:rPr>
          <w:rFonts w:ascii="Times New Roman" w:eastAsia="Times New Roman" w:hAnsi="Times New Roman" w:cs="Times New Roman"/>
          <w:sz w:val="20"/>
          <w:szCs w:val="20"/>
          <w:lang w:eastAsia="uk-UA"/>
        </w:rPr>
        <w:t>кладова 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сту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 про 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ни в реєстр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забезпечення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потечних сертиф</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кат</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 за кожним консол</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дованим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потечним боргом";</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val="en-US" w:eastAsia="uk-UA"/>
        </w:rPr>
        <w:t>C</w:t>
      </w:r>
      <w:r>
        <w:rPr>
          <w:rFonts w:ascii="Times New Roman" w:eastAsia="Times New Roman" w:hAnsi="Times New Roman" w:cs="Times New Roman"/>
          <w:sz w:val="20"/>
          <w:szCs w:val="20"/>
          <w:lang w:eastAsia="uk-UA"/>
        </w:rPr>
        <w:t>кладова 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сту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я про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потечне покриття", в тому числ</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 про зам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ну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потечних актив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 у склад</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потечного покриття";  </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 про розм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р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потечного покриття та його сп</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дношення з розм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ром (сумою) зобов'язань за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потечними обл</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гац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ями з цим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потечним покриттям";  </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 про сп</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дношення розм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ру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потечного покриття з розм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ром (сумою) зобов'язань за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потечними обл</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гац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ями з цим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потечним покриттям на кожну дату п</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сля зам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н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потечних актив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 у склад</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потечного покриття, як</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дбулись протягом зв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тного пер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оду";  </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 про зам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ни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потечних актив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 у склад</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потечного покриття або включення нових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потечних актив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в до складу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потечного покриття";</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val="en-US" w:eastAsia="uk-UA"/>
        </w:rPr>
        <w:t>C</w:t>
      </w:r>
      <w:r>
        <w:rPr>
          <w:rFonts w:ascii="Times New Roman" w:eastAsia="Times New Roman" w:hAnsi="Times New Roman" w:cs="Times New Roman"/>
          <w:sz w:val="20"/>
          <w:szCs w:val="20"/>
          <w:lang w:eastAsia="uk-UA"/>
        </w:rPr>
        <w:t>кладова 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сту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 про зам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ну ф</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нансової установи, яка зд</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йснює обслуговування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потечних актив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в";  </w:t>
      </w: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val="en-US" w:eastAsia="uk-UA"/>
        </w:rPr>
        <w:lastRenderedPageBreak/>
        <w:t>C</w:t>
      </w:r>
      <w:r>
        <w:rPr>
          <w:rFonts w:ascii="Times New Roman" w:eastAsia="Times New Roman" w:hAnsi="Times New Roman" w:cs="Times New Roman"/>
          <w:sz w:val="20"/>
          <w:szCs w:val="20"/>
          <w:lang w:eastAsia="uk-UA"/>
        </w:rPr>
        <w:t>кладова 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сту "Пром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жна ф</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нансова зв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сть поручителя (страховика/гаранта), що зд</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йснює забезпечення випуску боргових 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нних папер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 (за кожним суб'єктом забезпечення окремо)" не включена до складу пром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жної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ї,  оск</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льки за весь пер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од д</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яльност</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ем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тент не реєстрував випуск</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 боргових 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нних папер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w:t>
      </w: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val="en-US" w:eastAsia="uk-UA"/>
        </w:rPr>
        <w:t>C</w:t>
      </w:r>
      <w:r>
        <w:rPr>
          <w:rFonts w:ascii="Times New Roman" w:eastAsia="Times New Roman" w:hAnsi="Times New Roman" w:cs="Times New Roman"/>
          <w:sz w:val="20"/>
          <w:szCs w:val="20"/>
          <w:lang w:eastAsia="uk-UA"/>
        </w:rPr>
        <w:t>кладова 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сту "Зв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 про стан об'єкта нерухомост</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(у раз</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ем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ї 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льових обл</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гац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й п</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дприємств, виконання зобов'язань за якими зд</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йснюється шляхом передання об'єкта (частини об'єкта) житлового буд</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вництва)" не включена до складу пром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жної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ї,  оск</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льки за весь пер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од д</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яльност</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ем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тент не реєстрував випуск</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 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льових обл</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гац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й. </w:t>
      </w: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val="en-US" w:eastAsia="uk-UA"/>
        </w:rPr>
        <w:t>C</w:t>
      </w:r>
      <w:r>
        <w:rPr>
          <w:rFonts w:ascii="Times New Roman" w:eastAsia="Times New Roman" w:hAnsi="Times New Roman" w:cs="Times New Roman"/>
          <w:sz w:val="20"/>
          <w:szCs w:val="20"/>
          <w:lang w:eastAsia="uk-UA"/>
        </w:rPr>
        <w:t>кладова 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сту "Пром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жна ф</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нансова зв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сть ем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тента, складена за положеннями (стандартами) бухгалтерського обл</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ку" не включена до складу пром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жної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ї,  оск</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льки ф</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нансова зв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сть ем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тента складається за 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жнародними стандартами ф</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нансової зв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тност</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w:t>
      </w: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   Також на п</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дстав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пункту 3 глави 3 розд</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лу </w:t>
      </w:r>
      <w:r>
        <w:rPr>
          <w:rFonts w:ascii="Times New Roman" w:eastAsia="Times New Roman" w:hAnsi="Times New Roman" w:cs="Times New Roman"/>
          <w:sz w:val="20"/>
          <w:szCs w:val="20"/>
          <w:lang w:val="en-US" w:eastAsia="uk-UA"/>
        </w:rPr>
        <w:t>II</w:t>
      </w:r>
      <w:r>
        <w:rPr>
          <w:rFonts w:ascii="Times New Roman" w:eastAsia="Times New Roman" w:hAnsi="Times New Roman" w:cs="Times New Roman"/>
          <w:sz w:val="20"/>
          <w:szCs w:val="20"/>
          <w:lang w:eastAsia="uk-UA"/>
        </w:rPr>
        <w:t xml:space="preserve"> "Положення про розкриття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ї ем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тентами 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нних папер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 затвердженого 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шенням НКЦПФР 03.12.2013р. № 2826 (з</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нами та доповненнями), у пром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жному зв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за 4-й квартал 2021 року не розкрито:</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ю про господарську та ф</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нансову д</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яльн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сть ем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тента;</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пром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жну ф</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нансову зв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сть, складену за 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жнародними стандартами ф</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нансової зв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тност</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висновок про огляд пром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жної ф</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нансової зв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тност</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п</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дготовлений аудитором (аудиторською ф</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рмою);</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твердження щодо пром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жної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ї.</w:t>
      </w: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   Сл</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д зазначити, що пром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жна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нформац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 ем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тента п</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дписана Генеральнм директором Товариства - Хайдак</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ним Олегом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горовичем, який набув повноважень з 01 с</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чня 2022 року. До цього дану посаду об</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ймав Шевченко Євген 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кторович. </w:t>
      </w: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p>
    <w:p>
      <w:pPr>
        <w:sectPr>
          <w:pgSz w:w="11906" w:h="16838"/>
          <w:pgMar w:top="363" w:right="567" w:bottom="363" w:left="1417" w:header="709" w:footer="709" w:gutter="0"/>
          <w:cols w:space="708"/>
          <w:docGrid w:linePitch="360"/>
        </w:sectPr>
      </w:pPr>
    </w:p>
    <w:p>
      <w:pPr>
        <w:spacing w:after="300" w:line="240" w:lineRule="auto"/>
        <w:jc w:val="center"/>
        <w:outlineLvl w:val="2"/>
        <w:rPr>
          <w:rFonts w:ascii="Times New Roman" w:eastAsia="Times New Roman" w:hAnsi="Times New Roman" w:cs="Times New Roman"/>
          <w:b/>
          <w:bCs/>
          <w:color w:val="000000"/>
          <w:sz w:val="28"/>
          <w:szCs w:val="28"/>
          <w:lang w:val="uk-UA" w:eastAsia="uk-UA"/>
        </w:rPr>
      </w:pPr>
      <w:r>
        <w:rPr>
          <w:rFonts w:ascii="Times New Roman" w:eastAsia="Times New Roman" w:hAnsi="Times New Roman" w:cs="Times New Roman"/>
          <w:b/>
          <w:bCs/>
          <w:color w:val="000000"/>
          <w:sz w:val="28"/>
          <w:szCs w:val="28"/>
          <w:lang w:val="en-US" w:eastAsia="uk-UA"/>
        </w:rPr>
        <w:lastRenderedPageBreak/>
        <w:t>III</w:t>
      </w:r>
      <w:r>
        <w:rPr>
          <w:rFonts w:ascii="Times New Roman" w:eastAsia="Times New Roman" w:hAnsi="Times New Roman" w:cs="Times New Roman"/>
          <w:b/>
          <w:bCs/>
          <w:color w:val="000000"/>
          <w:sz w:val="28"/>
          <w:szCs w:val="28"/>
          <w:lang w:val="uk-UA" w:eastAsia="uk-UA"/>
        </w:rPr>
        <w:t>. Основні відомості про емітента</w:t>
      </w:r>
    </w:p>
    <w:tbl>
      <w:tblPr>
        <w:tblW w:w="0" w:type="auto"/>
        <w:tblLook w:val="01E0" w:firstRow="1" w:lastRow="1" w:firstColumn="1" w:lastColumn="1" w:noHBand="0" w:noVBand="0"/>
      </w:tblPr>
      <w:tblGrid>
        <w:gridCol w:w="1368"/>
        <w:gridCol w:w="900"/>
        <w:gridCol w:w="2659"/>
        <w:gridCol w:w="4928"/>
      </w:tblGrid>
      <w:tr>
        <w:trPr>
          <w:trHeight w:val="397"/>
        </w:trPr>
        <w:tc>
          <w:tcPr>
            <w:tcW w:w="4927" w:type="dxa"/>
            <w:gridSpan w:val="3"/>
            <w:shd w:val="clear" w:color="auto" w:fill="auto"/>
            <w:vAlign w:val="center"/>
          </w:tcPr>
          <w:p>
            <w:pPr>
              <w:spacing w:after="0" w:line="240" w:lineRule="auto"/>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uk-UA" w:eastAsia="uk-UA"/>
              </w:rPr>
              <w:t>1. Повне найменування</w:t>
            </w:r>
          </w:p>
        </w:tc>
        <w:tc>
          <w:tcPr>
            <w:tcW w:w="4928" w:type="dxa"/>
            <w:shd w:val="clear" w:color="auto" w:fill="auto"/>
            <w:vAlign w:val="center"/>
          </w:tcPr>
          <w:p>
            <w:pPr>
              <w:spacing w:after="0" w:line="240" w:lineRule="auto"/>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val="uk-UA" w:eastAsia="uk-UA"/>
              </w:rPr>
              <w:t xml:space="preserve"> </w:t>
            </w:r>
            <w:r>
              <w:rPr>
                <w:rFonts w:ascii="Times New Roman" w:eastAsia="Times New Roman" w:hAnsi="Times New Roman" w:cs="Times New Roman"/>
                <w:b/>
                <w:sz w:val="20"/>
                <w:szCs w:val="20"/>
                <w:lang w:eastAsia="uk-UA"/>
              </w:rPr>
              <w:t>ПРИВАТНЕ АКЦІОНЕРНЕ ТОВАРИСТВО "КАРЛСБЕРГ УКРАЇНА"</w:t>
            </w:r>
          </w:p>
        </w:tc>
      </w:tr>
      <w:tr>
        <w:trPr>
          <w:trHeight w:val="397"/>
        </w:trPr>
        <w:tc>
          <w:tcPr>
            <w:tcW w:w="4927" w:type="dxa"/>
            <w:gridSpan w:val="3"/>
            <w:shd w:val="clear" w:color="auto" w:fill="auto"/>
            <w:vAlign w:val="center"/>
          </w:tcPr>
          <w:p>
            <w:pPr>
              <w:spacing w:after="0" w:line="240" w:lineRule="auto"/>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en-US" w:eastAsia="uk-UA"/>
              </w:rPr>
              <w:t>2</w:t>
            </w:r>
            <w:r>
              <w:rPr>
                <w:rFonts w:ascii="Times New Roman" w:eastAsia="Times New Roman" w:hAnsi="Times New Roman" w:cs="Times New Roman"/>
                <w:sz w:val="20"/>
                <w:szCs w:val="20"/>
                <w:lang w:val="uk-UA" w:eastAsia="uk-UA"/>
              </w:rPr>
              <w:t>. Дата проведення державної реєстрації</w:t>
            </w:r>
          </w:p>
        </w:tc>
        <w:tc>
          <w:tcPr>
            <w:tcW w:w="4928" w:type="dxa"/>
            <w:shd w:val="clear" w:color="auto" w:fill="auto"/>
            <w:vAlign w:val="center"/>
          </w:tcPr>
          <w:p>
            <w:pPr>
              <w:spacing w:after="0" w:line="240" w:lineRule="auto"/>
              <w:rPr>
                <w:rFonts w:ascii="Times New Roman" w:eastAsia="Times New Roman" w:hAnsi="Times New Roman" w:cs="Times New Roman"/>
                <w:b/>
                <w:sz w:val="20"/>
                <w:szCs w:val="20"/>
                <w:lang w:val="en-US" w:eastAsia="uk-UA"/>
              </w:rPr>
            </w:pPr>
            <w:r>
              <w:rPr>
                <w:rFonts w:ascii="Times New Roman" w:eastAsia="Times New Roman" w:hAnsi="Times New Roman" w:cs="Times New Roman"/>
                <w:b/>
                <w:sz w:val="20"/>
                <w:szCs w:val="20"/>
                <w:lang w:val="en-US" w:eastAsia="uk-UA"/>
              </w:rPr>
              <w:t xml:space="preserve"> 05.08.1993</w:t>
            </w:r>
          </w:p>
        </w:tc>
      </w:tr>
      <w:tr>
        <w:trPr>
          <w:trHeight w:val="397"/>
        </w:trPr>
        <w:tc>
          <w:tcPr>
            <w:tcW w:w="4927" w:type="dxa"/>
            <w:gridSpan w:val="3"/>
            <w:shd w:val="clear" w:color="auto" w:fill="auto"/>
            <w:vAlign w:val="center"/>
          </w:tcPr>
          <w:p>
            <w:pPr>
              <w:spacing w:after="0" w:line="240" w:lineRule="auto"/>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en-US" w:eastAsia="uk-UA"/>
              </w:rPr>
              <w:t>3.</w:t>
            </w:r>
            <w:r>
              <w:rPr>
                <w:rFonts w:ascii="Times New Roman" w:eastAsia="Times New Roman" w:hAnsi="Times New Roman" w:cs="Times New Roman"/>
                <w:sz w:val="20"/>
                <w:szCs w:val="20"/>
                <w:lang w:val="uk-UA" w:eastAsia="uk-UA"/>
              </w:rPr>
              <w:t xml:space="preserve"> </w:t>
            </w:r>
            <w:r>
              <w:rPr>
                <w:rFonts w:ascii="Times New Roman" w:eastAsia="Times New Roman" w:hAnsi="Times New Roman" w:cs="Times New Roman"/>
                <w:sz w:val="20"/>
                <w:szCs w:val="20"/>
                <w:lang w:eastAsia="uk-UA"/>
              </w:rPr>
              <w:t>Територія</w:t>
            </w:r>
            <w:r>
              <w:rPr>
                <w:rFonts w:ascii="Times New Roman" w:eastAsia="Times New Roman" w:hAnsi="Times New Roman" w:cs="Times New Roman"/>
                <w:sz w:val="20"/>
                <w:szCs w:val="20"/>
                <w:lang w:val="en-US" w:eastAsia="uk-UA"/>
              </w:rPr>
              <w:t xml:space="preserve"> (</w:t>
            </w:r>
            <w:r>
              <w:rPr>
                <w:rFonts w:ascii="Times New Roman" w:eastAsia="Times New Roman" w:hAnsi="Times New Roman" w:cs="Times New Roman"/>
                <w:sz w:val="20"/>
                <w:szCs w:val="20"/>
                <w:lang w:eastAsia="uk-UA"/>
              </w:rPr>
              <w:t>о</w:t>
            </w:r>
            <w:r>
              <w:rPr>
                <w:rFonts w:ascii="Times New Roman" w:eastAsia="Times New Roman" w:hAnsi="Times New Roman" w:cs="Times New Roman"/>
                <w:sz w:val="20"/>
                <w:szCs w:val="20"/>
                <w:lang w:val="uk-UA" w:eastAsia="uk-UA"/>
              </w:rPr>
              <w:t>бласть)</w:t>
            </w:r>
          </w:p>
        </w:tc>
        <w:tc>
          <w:tcPr>
            <w:tcW w:w="4928" w:type="dxa"/>
            <w:shd w:val="clear" w:color="auto" w:fill="auto"/>
            <w:vAlign w:val="center"/>
          </w:tcPr>
          <w:p>
            <w:pPr>
              <w:spacing w:after="0" w:line="240" w:lineRule="auto"/>
              <w:rPr>
                <w:rFonts w:ascii="Times New Roman" w:eastAsia="Times New Roman" w:hAnsi="Times New Roman" w:cs="Times New Roman"/>
                <w:b/>
                <w:sz w:val="20"/>
                <w:szCs w:val="20"/>
                <w:lang w:val="en-US" w:eastAsia="uk-UA"/>
              </w:rPr>
            </w:pPr>
            <w:r>
              <w:rPr>
                <w:rFonts w:ascii="Times New Roman" w:eastAsia="Times New Roman" w:hAnsi="Times New Roman" w:cs="Times New Roman"/>
                <w:b/>
                <w:sz w:val="20"/>
                <w:szCs w:val="20"/>
                <w:lang w:val="en-US" w:eastAsia="uk-UA"/>
              </w:rPr>
              <w:t xml:space="preserve"> Запорiзька область</w:t>
            </w:r>
          </w:p>
        </w:tc>
      </w:tr>
      <w:tr>
        <w:trPr>
          <w:trHeight w:val="397"/>
        </w:trPr>
        <w:tc>
          <w:tcPr>
            <w:tcW w:w="4927" w:type="dxa"/>
            <w:gridSpan w:val="3"/>
            <w:shd w:val="clear" w:color="auto" w:fill="auto"/>
            <w:vAlign w:val="center"/>
          </w:tcPr>
          <w:p>
            <w:pPr>
              <w:spacing w:after="0" w:line="240" w:lineRule="auto"/>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en-US" w:eastAsia="uk-UA"/>
              </w:rPr>
              <w:t>4</w:t>
            </w:r>
            <w:r>
              <w:rPr>
                <w:rFonts w:ascii="Times New Roman" w:eastAsia="Times New Roman" w:hAnsi="Times New Roman" w:cs="Times New Roman"/>
                <w:sz w:val="20"/>
                <w:szCs w:val="20"/>
                <w:lang w:val="uk-UA" w:eastAsia="uk-UA"/>
              </w:rPr>
              <w:t>. Статутний капітал (грн.)</w:t>
            </w:r>
          </w:p>
        </w:tc>
        <w:tc>
          <w:tcPr>
            <w:tcW w:w="4928" w:type="dxa"/>
            <w:shd w:val="clear" w:color="auto" w:fill="auto"/>
            <w:vAlign w:val="center"/>
          </w:tcPr>
          <w:p>
            <w:pPr>
              <w:spacing w:after="0" w:line="240" w:lineRule="auto"/>
              <w:rPr>
                <w:rFonts w:ascii="Times New Roman" w:eastAsia="Times New Roman" w:hAnsi="Times New Roman" w:cs="Times New Roman"/>
                <w:b/>
                <w:sz w:val="20"/>
                <w:szCs w:val="20"/>
                <w:lang w:val="en-US" w:eastAsia="uk-UA"/>
              </w:rPr>
            </w:pPr>
            <w:r>
              <w:rPr>
                <w:rFonts w:ascii="Times New Roman" w:eastAsia="Times New Roman" w:hAnsi="Times New Roman" w:cs="Times New Roman"/>
                <w:b/>
                <w:sz w:val="20"/>
                <w:szCs w:val="20"/>
                <w:lang w:val="en-US" w:eastAsia="uk-UA"/>
              </w:rPr>
              <w:t xml:space="preserve"> 1022432914.00</w:t>
            </w:r>
          </w:p>
        </w:tc>
      </w:tr>
      <w:tr>
        <w:trPr>
          <w:trHeight w:val="397"/>
        </w:trPr>
        <w:tc>
          <w:tcPr>
            <w:tcW w:w="4927" w:type="dxa"/>
            <w:gridSpan w:val="3"/>
            <w:shd w:val="clear" w:color="auto" w:fill="auto"/>
            <w:vAlign w:val="center"/>
          </w:tcPr>
          <w:p>
            <w:pPr>
              <w:spacing w:after="0" w:line="240" w:lineRule="auto"/>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eastAsia="uk-UA"/>
              </w:rPr>
              <w:t>5</w:t>
            </w:r>
            <w:r>
              <w:rPr>
                <w:rFonts w:ascii="Times New Roman" w:eastAsia="Times New Roman" w:hAnsi="Times New Roman" w:cs="Times New Roman"/>
                <w:sz w:val="20"/>
                <w:szCs w:val="20"/>
                <w:lang w:val="uk-UA" w:eastAsia="uk-UA"/>
              </w:rPr>
              <w:t>. Відсоток акцій у статутному капіталі, що належать державі</w:t>
            </w:r>
          </w:p>
        </w:tc>
        <w:tc>
          <w:tcPr>
            <w:tcW w:w="4928" w:type="dxa"/>
            <w:shd w:val="clear" w:color="auto" w:fill="auto"/>
            <w:vAlign w:val="center"/>
          </w:tcPr>
          <w:p>
            <w:pPr>
              <w:spacing w:after="0" w:line="240" w:lineRule="auto"/>
              <w:rPr>
                <w:rFonts w:ascii="Times New Roman" w:eastAsia="Times New Roman" w:hAnsi="Times New Roman" w:cs="Times New Roman"/>
                <w:b/>
                <w:sz w:val="20"/>
                <w:szCs w:val="20"/>
                <w:lang w:val="en-US" w:eastAsia="uk-UA"/>
              </w:rPr>
            </w:pPr>
            <w:r>
              <w:rPr>
                <w:rFonts w:ascii="Times New Roman" w:eastAsia="Times New Roman" w:hAnsi="Times New Roman" w:cs="Times New Roman"/>
                <w:b/>
                <w:sz w:val="20"/>
                <w:szCs w:val="20"/>
                <w:lang w:eastAsia="uk-UA"/>
              </w:rPr>
              <w:t>0.000</w:t>
            </w:r>
          </w:p>
        </w:tc>
      </w:tr>
      <w:tr>
        <w:trPr>
          <w:trHeight w:val="397"/>
        </w:trPr>
        <w:tc>
          <w:tcPr>
            <w:tcW w:w="4927" w:type="dxa"/>
            <w:gridSpan w:val="3"/>
            <w:shd w:val="clear" w:color="auto" w:fill="auto"/>
            <w:vAlign w:val="center"/>
          </w:tcPr>
          <w:p>
            <w:pPr>
              <w:spacing w:after="0" w:line="240" w:lineRule="auto"/>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eastAsia="uk-UA"/>
              </w:rPr>
              <w:t>6</w:t>
            </w:r>
            <w:r>
              <w:rPr>
                <w:rFonts w:ascii="Times New Roman" w:eastAsia="Times New Roman" w:hAnsi="Times New Roman" w:cs="Times New Roman"/>
                <w:sz w:val="20"/>
                <w:szCs w:val="20"/>
                <w:lang w:val="uk-UA" w:eastAsia="uk-UA"/>
              </w:rPr>
              <w:t>.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4928" w:type="dxa"/>
            <w:shd w:val="clear" w:color="auto" w:fill="auto"/>
            <w:vAlign w:val="center"/>
          </w:tcPr>
          <w:p>
            <w:pPr>
              <w:spacing w:after="0" w:line="240" w:lineRule="auto"/>
              <w:rPr>
                <w:rFonts w:ascii="Times New Roman" w:eastAsia="Times New Roman" w:hAnsi="Times New Roman" w:cs="Times New Roman"/>
                <w:b/>
                <w:sz w:val="20"/>
                <w:szCs w:val="20"/>
                <w:lang w:eastAsia="uk-UA"/>
              </w:rPr>
            </w:pPr>
            <w:r>
              <w:rPr>
                <w:rFonts w:ascii="Times New Roman" w:eastAsia="Times New Roman" w:hAnsi="Times New Roman" w:cs="Times New Roman"/>
                <w:b/>
                <w:sz w:val="20"/>
                <w:szCs w:val="20"/>
                <w:lang w:eastAsia="uk-UA"/>
              </w:rPr>
              <w:t>0.000</w:t>
            </w:r>
          </w:p>
        </w:tc>
      </w:tr>
      <w:tr>
        <w:trPr>
          <w:trHeight w:val="397"/>
        </w:trPr>
        <w:tc>
          <w:tcPr>
            <w:tcW w:w="4927" w:type="dxa"/>
            <w:gridSpan w:val="3"/>
            <w:shd w:val="clear" w:color="auto" w:fill="auto"/>
            <w:vAlign w:val="center"/>
          </w:tcPr>
          <w:p>
            <w:pPr>
              <w:spacing w:after="0" w:line="240" w:lineRule="auto"/>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en-US" w:eastAsia="uk-UA"/>
              </w:rPr>
              <w:t>7</w:t>
            </w:r>
            <w:r>
              <w:rPr>
                <w:rFonts w:ascii="Times New Roman" w:eastAsia="Times New Roman" w:hAnsi="Times New Roman" w:cs="Times New Roman"/>
                <w:sz w:val="20"/>
                <w:szCs w:val="20"/>
                <w:lang w:val="uk-UA" w:eastAsia="uk-UA"/>
              </w:rPr>
              <w:t>. Середня кількість працівників (осіб)</w:t>
            </w:r>
          </w:p>
        </w:tc>
        <w:tc>
          <w:tcPr>
            <w:tcW w:w="4928" w:type="dxa"/>
            <w:shd w:val="clear" w:color="auto" w:fill="auto"/>
            <w:vAlign w:val="center"/>
          </w:tcPr>
          <w:p>
            <w:pPr>
              <w:spacing w:after="0" w:line="240" w:lineRule="auto"/>
              <w:rPr>
                <w:rFonts w:ascii="Times New Roman" w:eastAsia="Times New Roman" w:hAnsi="Times New Roman" w:cs="Times New Roman"/>
                <w:b/>
                <w:sz w:val="20"/>
                <w:szCs w:val="20"/>
                <w:lang w:val="en-US" w:eastAsia="uk-UA"/>
              </w:rPr>
            </w:pPr>
            <w:r>
              <w:rPr>
                <w:rFonts w:ascii="Times New Roman" w:eastAsia="Times New Roman" w:hAnsi="Times New Roman" w:cs="Times New Roman"/>
                <w:b/>
                <w:sz w:val="20"/>
                <w:szCs w:val="20"/>
                <w:lang w:eastAsia="uk-UA"/>
              </w:rPr>
              <w:t>1344</w:t>
            </w:r>
          </w:p>
        </w:tc>
      </w:tr>
      <w:tr>
        <w:trPr>
          <w:trHeight w:val="397"/>
        </w:trPr>
        <w:tc>
          <w:tcPr>
            <w:tcW w:w="9855" w:type="dxa"/>
            <w:gridSpan w:val="4"/>
            <w:shd w:val="clear" w:color="auto" w:fill="auto"/>
            <w:vAlign w:val="center"/>
          </w:tcPr>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8</w:t>
            </w:r>
            <w:r>
              <w:rPr>
                <w:rFonts w:ascii="Times New Roman" w:eastAsia="Times New Roman" w:hAnsi="Times New Roman" w:cs="Times New Roman"/>
                <w:sz w:val="20"/>
                <w:szCs w:val="20"/>
                <w:lang w:val="uk-UA" w:eastAsia="uk-UA"/>
              </w:rPr>
              <w:t>. Основні види діяльності із зазначенням найменування виду діяльності та коду за КВЕД</w:t>
            </w:r>
          </w:p>
        </w:tc>
      </w:tr>
      <w:tr>
        <w:trPr>
          <w:trHeight w:val="397"/>
        </w:trPr>
        <w:tc>
          <w:tcPr>
            <w:tcW w:w="1368" w:type="dxa"/>
            <w:shd w:val="clear" w:color="auto" w:fill="auto"/>
            <w:vAlign w:val="center"/>
          </w:tcPr>
          <w:p>
            <w:pPr>
              <w:spacing w:after="0" w:line="240" w:lineRule="auto"/>
              <w:rPr>
                <w:rFonts w:ascii="Times New Roman" w:eastAsia="Times New Roman" w:hAnsi="Times New Roman" w:cs="Times New Roman"/>
                <w:b/>
                <w:sz w:val="20"/>
                <w:szCs w:val="20"/>
                <w:lang w:val="en-US" w:eastAsia="uk-UA"/>
              </w:rPr>
            </w:pPr>
            <w:r>
              <w:rPr>
                <w:rFonts w:ascii="Times New Roman" w:eastAsia="Times New Roman" w:hAnsi="Times New Roman" w:cs="Times New Roman"/>
                <w:b/>
                <w:sz w:val="20"/>
                <w:szCs w:val="20"/>
                <w:lang w:val="en-US" w:eastAsia="uk-UA"/>
              </w:rPr>
              <w:t>11.05</w:t>
            </w:r>
          </w:p>
        </w:tc>
        <w:tc>
          <w:tcPr>
            <w:tcW w:w="8487" w:type="dxa"/>
            <w:gridSpan w:val="3"/>
            <w:shd w:val="clear" w:color="auto" w:fill="auto"/>
            <w:vAlign w:val="center"/>
          </w:tcPr>
          <w:p>
            <w:pPr>
              <w:spacing w:after="0" w:line="240" w:lineRule="auto"/>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val="en-US" w:eastAsia="uk-UA"/>
              </w:rPr>
              <w:t xml:space="preserve"> ВИРОБНИЦТВО ПИВА</w:t>
            </w:r>
          </w:p>
        </w:tc>
      </w:tr>
      <w:tr>
        <w:trPr>
          <w:trHeight w:val="397"/>
        </w:trPr>
        <w:tc>
          <w:tcPr>
            <w:tcW w:w="1368" w:type="dxa"/>
            <w:shd w:val="clear" w:color="auto" w:fill="auto"/>
            <w:vAlign w:val="center"/>
          </w:tcPr>
          <w:p>
            <w:pPr>
              <w:spacing w:after="0" w:line="240" w:lineRule="auto"/>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val="en-US" w:eastAsia="uk-UA"/>
              </w:rPr>
              <w:t xml:space="preserve"> 11.03</w:t>
            </w:r>
          </w:p>
        </w:tc>
        <w:tc>
          <w:tcPr>
            <w:tcW w:w="8487" w:type="dxa"/>
            <w:gridSpan w:val="3"/>
            <w:shd w:val="clear" w:color="auto" w:fill="auto"/>
            <w:vAlign w:val="center"/>
          </w:tcPr>
          <w:p>
            <w:pPr>
              <w:spacing w:after="0" w:line="240" w:lineRule="auto"/>
              <w:rPr>
                <w:rFonts w:ascii="Times New Roman" w:eastAsia="Times New Roman" w:hAnsi="Times New Roman" w:cs="Times New Roman"/>
                <w:b/>
                <w:sz w:val="20"/>
                <w:szCs w:val="20"/>
                <w:lang w:eastAsia="uk-UA"/>
              </w:rPr>
            </w:pPr>
            <w:r>
              <w:rPr>
                <w:rFonts w:ascii="Times New Roman" w:eastAsia="Times New Roman" w:hAnsi="Times New Roman" w:cs="Times New Roman"/>
                <w:b/>
                <w:sz w:val="20"/>
                <w:szCs w:val="20"/>
                <w:lang w:eastAsia="uk-UA"/>
              </w:rPr>
              <w:t xml:space="preserve"> ВИРОБНИЦТВО СИДРУ ТА ІНШИХ ПЛОДОВО-ЯГІДНИХ ВИН</w:t>
            </w:r>
          </w:p>
        </w:tc>
      </w:tr>
      <w:tr>
        <w:trPr>
          <w:trHeight w:val="397"/>
        </w:trPr>
        <w:tc>
          <w:tcPr>
            <w:tcW w:w="1368" w:type="dxa"/>
            <w:shd w:val="clear" w:color="auto" w:fill="auto"/>
            <w:vAlign w:val="center"/>
          </w:tcPr>
          <w:p>
            <w:pPr>
              <w:spacing w:after="0" w:line="240" w:lineRule="auto"/>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eastAsia="uk-UA"/>
              </w:rPr>
              <w:t xml:space="preserve"> </w:t>
            </w:r>
            <w:r>
              <w:rPr>
                <w:rFonts w:ascii="Times New Roman" w:eastAsia="Times New Roman" w:hAnsi="Times New Roman" w:cs="Times New Roman"/>
                <w:b/>
                <w:sz w:val="20"/>
                <w:szCs w:val="20"/>
                <w:lang w:val="en-US" w:eastAsia="uk-UA"/>
              </w:rPr>
              <w:t>11.07</w:t>
            </w:r>
          </w:p>
        </w:tc>
        <w:tc>
          <w:tcPr>
            <w:tcW w:w="8487" w:type="dxa"/>
            <w:gridSpan w:val="3"/>
            <w:shd w:val="clear" w:color="auto" w:fill="auto"/>
            <w:vAlign w:val="center"/>
          </w:tcPr>
          <w:p>
            <w:pPr>
              <w:spacing w:after="0" w:line="240" w:lineRule="auto"/>
              <w:rPr>
                <w:rFonts w:ascii="Times New Roman" w:eastAsia="Times New Roman" w:hAnsi="Times New Roman" w:cs="Times New Roman"/>
                <w:b/>
                <w:sz w:val="20"/>
                <w:szCs w:val="20"/>
                <w:lang w:eastAsia="uk-UA"/>
              </w:rPr>
            </w:pPr>
            <w:r>
              <w:rPr>
                <w:rFonts w:ascii="Times New Roman" w:eastAsia="Times New Roman" w:hAnsi="Times New Roman" w:cs="Times New Roman"/>
                <w:b/>
                <w:sz w:val="20"/>
                <w:szCs w:val="20"/>
                <w:lang w:eastAsia="uk-UA"/>
              </w:rPr>
              <w:t xml:space="preserve"> ВИРОБНИЦТВО БЕЗАЛКОГОЛЬНИХ НАПОЇВ; ВИРОБНИЦТВО МІНЕРАЛЬНИХ ВОД ТА ІНШИХ ВОД, РОЗЛИТИХ У ПЛЯШКИ"</w:t>
            </w:r>
          </w:p>
        </w:tc>
      </w:tr>
      <w:tr>
        <w:tc>
          <w:tcPr>
            <w:tcW w:w="2268" w:type="dxa"/>
            <w:gridSpan w:val="2"/>
            <w:shd w:val="clear" w:color="auto" w:fill="auto"/>
          </w:tcPr>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val="en-US" w:eastAsia="uk-UA"/>
              </w:rPr>
              <w:t>9</w:t>
            </w:r>
            <w:r>
              <w:rPr>
                <w:rFonts w:ascii="Times New Roman" w:eastAsia="Times New Roman" w:hAnsi="Times New Roman" w:cs="Times New Roman"/>
                <w:sz w:val="20"/>
                <w:szCs w:val="20"/>
                <w:lang w:eastAsia="uk-UA"/>
              </w:rPr>
              <w:t>. Органи управління підприємства</w:t>
            </w:r>
          </w:p>
        </w:tc>
        <w:tc>
          <w:tcPr>
            <w:tcW w:w="7587" w:type="dxa"/>
            <w:gridSpan w:val="2"/>
            <w:shd w:val="clear" w:color="auto" w:fill="auto"/>
          </w:tcPr>
          <w:p>
            <w:pPr>
              <w:spacing w:after="0" w:line="240" w:lineRule="auto"/>
              <w:rPr>
                <w:rFonts w:ascii="Times New Roman" w:eastAsia="Times New Roman" w:hAnsi="Times New Roman" w:cs="Times New Roman"/>
                <w:b/>
                <w:sz w:val="20"/>
                <w:szCs w:val="20"/>
                <w:lang w:eastAsia="uk-UA"/>
              </w:rPr>
            </w:pPr>
            <w:r>
              <w:rPr>
                <w:rFonts w:ascii="Times New Roman" w:eastAsia="Times New Roman" w:hAnsi="Times New Roman" w:cs="Times New Roman"/>
                <w:b/>
                <w:sz w:val="20"/>
                <w:szCs w:val="20"/>
                <w:lang w:eastAsia="uk-UA"/>
              </w:rPr>
              <w:t>Органами Товариства є загальн</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 xml:space="preserve"> Збори акц</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онер</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 xml:space="preserve">в, Генеральний директор та Наглядова Рада. </w:t>
            </w:r>
          </w:p>
          <w:p>
            <w:pPr>
              <w:spacing w:after="0" w:line="240" w:lineRule="auto"/>
              <w:rPr>
                <w:rFonts w:ascii="Times New Roman" w:eastAsia="Times New Roman" w:hAnsi="Times New Roman" w:cs="Times New Roman"/>
                <w:b/>
                <w:sz w:val="20"/>
                <w:szCs w:val="20"/>
                <w:lang w:eastAsia="uk-UA"/>
              </w:rPr>
            </w:pPr>
            <w:r>
              <w:rPr>
                <w:rFonts w:ascii="Times New Roman" w:eastAsia="Times New Roman" w:hAnsi="Times New Roman" w:cs="Times New Roman"/>
                <w:b/>
                <w:sz w:val="20"/>
                <w:szCs w:val="20"/>
                <w:lang w:eastAsia="uk-UA"/>
              </w:rPr>
              <w:t>Повноваження орган</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в Товариства визначаються загальними Зборами акц</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онер</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в, як</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 xml:space="preserve"> є вищим органом ем</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 xml:space="preserve">тента </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 xml:space="preserve"> як</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 xml:space="preserve"> мають право приймати будь-як</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 xml:space="preserve"> р</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шення стосовно його д</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яльност</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 xml:space="preserve"> у в</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дпов</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дност</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 xml:space="preserve"> до вимог д</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ючого законодавства, Статуту та внутр</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шн</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 xml:space="preserve">х положень Товариства. </w:t>
            </w:r>
          </w:p>
          <w:p>
            <w:pPr>
              <w:spacing w:after="0" w:line="240" w:lineRule="auto"/>
              <w:rPr>
                <w:rFonts w:ascii="Times New Roman" w:eastAsia="Times New Roman" w:hAnsi="Times New Roman" w:cs="Times New Roman"/>
                <w:b/>
                <w:sz w:val="20"/>
                <w:szCs w:val="20"/>
                <w:lang w:eastAsia="uk-UA"/>
              </w:rPr>
            </w:pPr>
            <w:r>
              <w:rPr>
                <w:rFonts w:ascii="Times New Roman" w:eastAsia="Times New Roman" w:hAnsi="Times New Roman" w:cs="Times New Roman"/>
                <w:b/>
                <w:sz w:val="20"/>
                <w:szCs w:val="20"/>
                <w:lang w:eastAsia="uk-UA"/>
              </w:rPr>
              <w:t>Генеральний директор - одноос</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бний виконавчий орган емітента, який зд</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йснює кер</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вництво його поточною д</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яльн</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 xml:space="preserve">стю </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 xml:space="preserve"> забезпечує виконання вс</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х р</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шень загальних Збор</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 xml:space="preserve">в та Наглядової ради Товариства. </w:t>
            </w:r>
          </w:p>
          <w:p>
            <w:pPr>
              <w:spacing w:after="0" w:line="240" w:lineRule="auto"/>
              <w:rPr>
                <w:rFonts w:ascii="Times New Roman" w:eastAsia="Times New Roman" w:hAnsi="Times New Roman" w:cs="Times New Roman"/>
                <w:b/>
                <w:sz w:val="20"/>
                <w:szCs w:val="20"/>
                <w:lang w:eastAsia="uk-UA"/>
              </w:rPr>
            </w:pPr>
            <w:r>
              <w:rPr>
                <w:rFonts w:ascii="Times New Roman" w:eastAsia="Times New Roman" w:hAnsi="Times New Roman" w:cs="Times New Roman"/>
                <w:b/>
                <w:sz w:val="20"/>
                <w:szCs w:val="20"/>
                <w:lang w:eastAsia="uk-UA"/>
              </w:rPr>
              <w:t>Наглядова Рада - колегіальний орган, що здійснює захист прав акціонерів Товариства і в межах компетенції, визначеної Статутом та законодавством, здійснює управління Товариством, а також контролює та регулює діяльність виконавчого органу - Генерального директора.</w:t>
            </w:r>
          </w:p>
          <w:p>
            <w:pPr>
              <w:spacing w:after="0" w:line="240" w:lineRule="auto"/>
              <w:rPr>
                <w:rFonts w:ascii="Times New Roman" w:eastAsia="Times New Roman" w:hAnsi="Times New Roman" w:cs="Times New Roman"/>
                <w:b/>
                <w:sz w:val="20"/>
                <w:szCs w:val="20"/>
                <w:lang w:eastAsia="uk-UA"/>
              </w:rPr>
            </w:pPr>
            <w:r>
              <w:rPr>
                <w:rFonts w:ascii="Times New Roman" w:eastAsia="Times New Roman" w:hAnsi="Times New Roman" w:cs="Times New Roman"/>
                <w:b/>
                <w:sz w:val="20"/>
                <w:szCs w:val="20"/>
                <w:lang w:eastAsia="uk-UA"/>
              </w:rPr>
              <w:t>Повноваження орган</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в Товариства закр</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плен</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 xml:space="preserve"> в його Статут</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 xml:space="preserve"> та внутр</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шн</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х Положеннях емітента.</w:t>
            </w:r>
          </w:p>
          <w:p>
            <w:pPr>
              <w:spacing w:after="0" w:line="240" w:lineRule="auto"/>
              <w:rPr>
                <w:rFonts w:ascii="Times New Roman" w:eastAsia="Times New Roman" w:hAnsi="Times New Roman" w:cs="Times New Roman"/>
                <w:b/>
                <w:sz w:val="20"/>
                <w:szCs w:val="20"/>
                <w:lang w:eastAsia="uk-UA"/>
              </w:rPr>
            </w:pPr>
          </w:p>
        </w:tc>
      </w:tr>
      <w:tr>
        <w:tc>
          <w:tcPr>
            <w:tcW w:w="9855" w:type="dxa"/>
            <w:gridSpan w:val="4"/>
            <w:shd w:val="clear" w:color="auto" w:fill="auto"/>
          </w:tcPr>
          <w:p>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 Засновники (наводиться перелік засновників (учасників) юридичної особи, у тому числі прізвище, ім'я, по батькові, якщо засновник – фізична особа; найменування, місцезнаходження та ідентифікаційний код юридичної особи, якщо засновник – юридична особа).</w:t>
            </w:r>
          </w:p>
          <w:p>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Якщо кількість фізичних осіб - засновників емітента перевищує двадцять, зазначається загальна кількість фізичних осіб :</w:t>
            </w:r>
          </w:p>
        </w:tc>
      </w:tr>
      <w:tr>
        <w:tc>
          <w:tcPr>
            <w:tcW w:w="9855" w:type="dxa"/>
            <w:gridSpan w:val="4"/>
            <w:shd w:val="clear" w:color="auto" w:fill="auto"/>
          </w:tcPr>
          <w:p>
            <w:pPr>
              <w:spacing w:after="0" w:line="240" w:lineRule="auto"/>
              <w:rPr>
                <w:rFonts w:ascii="Times New Roman" w:eastAsia="Times New Roman" w:hAnsi="Times New Roman" w:cs="Times New Roman"/>
                <w:b/>
                <w:sz w:val="20"/>
                <w:szCs w:val="20"/>
                <w:lang w:eastAsia="uk-UA"/>
              </w:rPr>
            </w:pPr>
            <w:r>
              <w:rPr>
                <w:rFonts w:ascii="Times New Roman" w:eastAsia="Times New Roman" w:hAnsi="Times New Roman" w:cs="Times New Roman"/>
                <w:b/>
                <w:sz w:val="20"/>
                <w:szCs w:val="20"/>
                <w:lang w:eastAsia="uk-UA"/>
              </w:rPr>
              <w:t>1. Орган</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зац</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я орендар</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в Запор</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зького пиво-безалкогольного комб</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нату "Славутич" - 96,33% розм</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ру СК, місцезнаходження : 69076, місто Запор</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жжя, вулиця Сапожн</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кова, будинок 6, ідентифікаційний код юридичної особи : д/н</w:t>
            </w:r>
          </w:p>
          <w:p>
            <w:pPr>
              <w:spacing w:after="0" w:line="240" w:lineRule="auto"/>
              <w:rPr>
                <w:rFonts w:ascii="Times New Roman" w:eastAsia="Times New Roman" w:hAnsi="Times New Roman" w:cs="Times New Roman"/>
                <w:b/>
                <w:sz w:val="20"/>
                <w:szCs w:val="20"/>
                <w:lang w:eastAsia="uk-UA"/>
              </w:rPr>
            </w:pPr>
            <w:r>
              <w:rPr>
                <w:rFonts w:ascii="Times New Roman" w:eastAsia="Times New Roman" w:hAnsi="Times New Roman" w:cs="Times New Roman"/>
                <w:b/>
                <w:sz w:val="20"/>
                <w:szCs w:val="20"/>
                <w:lang w:eastAsia="uk-UA"/>
              </w:rPr>
              <w:t>2. Акц</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онерне товариство "Донецький ф</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нансово-</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нвестиц</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йний фонд" - 3,66% розм</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ру СК, місцезнаходження : 83004, місто Донецьк, проспект Т</w:t>
            </w:r>
            <w:r>
              <w:rPr>
                <w:rFonts w:ascii="Times New Roman" w:eastAsia="Times New Roman" w:hAnsi="Times New Roman" w:cs="Times New Roman"/>
                <w:b/>
                <w:sz w:val="20"/>
                <w:szCs w:val="20"/>
                <w:lang w:val="en-US" w:eastAsia="uk-UA"/>
              </w:rPr>
              <w:t>i</w:t>
            </w:r>
            <w:r>
              <w:rPr>
                <w:rFonts w:ascii="Times New Roman" w:eastAsia="Times New Roman" w:hAnsi="Times New Roman" w:cs="Times New Roman"/>
                <w:b/>
                <w:sz w:val="20"/>
                <w:szCs w:val="20"/>
                <w:lang w:eastAsia="uk-UA"/>
              </w:rPr>
              <w:t>това,будинок 9, ідентифікаційний код юридичної особи : д/н</w:t>
            </w:r>
          </w:p>
          <w:p>
            <w:pPr>
              <w:spacing w:after="0" w:line="240" w:lineRule="auto"/>
              <w:rPr>
                <w:rFonts w:ascii="Times New Roman" w:eastAsia="Times New Roman" w:hAnsi="Times New Roman" w:cs="Times New Roman"/>
                <w:b/>
                <w:sz w:val="20"/>
                <w:szCs w:val="20"/>
                <w:lang w:eastAsia="uk-UA"/>
              </w:rPr>
            </w:pPr>
          </w:p>
        </w:tc>
      </w:tr>
    </w:tbl>
    <w:p>
      <w:pPr>
        <w:spacing w:after="0" w:line="240" w:lineRule="auto"/>
        <w:rPr>
          <w:rFonts w:ascii="Times New Roman" w:eastAsia="Times New Roman" w:hAnsi="Times New Roman" w:cs="Times New Roman"/>
          <w:vanish/>
          <w:sz w:val="24"/>
          <w:szCs w:val="24"/>
          <w:lang w:val="uk-UA" w:eastAsia="uk-UA"/>
        </w:rPr>
      </w:pPr>
    </w:p>
    <w:tbl>
      <w:tblPr>
        <w:tblW w:w="9960" w:type="dxa"/>
        <w:tblCellMar>
          <w:top w:w="15" w:type="dxa"/>
          <w:left w:w="15" w:type="dxa"/>
          <w:bottom w:w="15" w:type="dxa"/>
          <w:right w:w="15" w:type="dxa"/>
        </w:tblCellMar>
        <w:tblLook w:val="0000" w:firstRow="0" w:lastRow="0" w:firstColumn="0" w:lastColumn="0" w:noHBand="0" w:noVBand="0"/>
      </w:tblPr>
      <w:tblGrid>
        <w:gridCol w:w="4920"/>
        <w:gridCol w:w="5040"/>
      </w:tblGrid>
      <w:tr>
        <w:tc>
          <w:tcPr>
            <w:tcW w:w="9960" w:type="dxa"/>
            <w:gridSpan w:val="2"/>
            <w:tcMar>
              <w:top w:w="60" w:type="dxa"/>
              <w:left w:w="60" w:type="dxa"/>
              <w:bottom w:w="60" w:type="dxa"/>
              <w:right w:w="60" w:type="dxa"/>
            </w:tcMar>
            <w:vAlign w:val="center"/>
          </w:tcPr>
          <w:p>
            <w:pPr>
              <w:spacing w:after="0" w:line="240" w:lineRule="auto"/>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uk-UA" w:eastAsia="uk-UA"/>
              </w:rPr>
              <w:t>11. Банки, що обслуговують емітента</w:t>
            </w:r>
          </w:p>
        </w:tc>
      </w:tr>
      <w:tr>
        <w:tc>
          <w:tcPr>
            <w:tcW w:w="4920" w:type="dxa"/>
            <w:tcMar>
              <w:top w:w="60" w:type="dxa"/>
              <w:left w:w="60" w:type="dxa"/>
              <w:bottom w:w="60" w:type="dxa"/>
              <w:right w:w="60" w:type="dxa"/>
            </w:tcMar>
          </w:tcPr>
          <w:p>
            <w:pPr>
              <w:spacing w:after="0" w:line="240" w:lineRule="auto"/>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uk-UA" w:eastAsia="uk-UA"/>
              </w:rPr>
              <w:t>1) Найменування банку (філії, відділення банку), який обслуговує емітента за поточним рахунком у національній валюті</w:t>
            </w:r>
          </w:p>
        </w:tc>
        <w:tc>
          <w:tcPr>
            <w:tcW w:w="5040" w:type="dxa"/>
          </w:tcPr>
          <w:p>
            <w:pPr>
              <w:spacing w:after="0" w:line="240" w:lineRule="auto"/>
              <w:rPr>
                <w:rFonts w:ascii="Times New Roman" w:eastAsia="Times New Roman" w:hAnsi="Times New Roman" w:cs="Times New Roman"/>
                <w:b/>
                <w:sz w:val="20"/>
                <w:szCs w:val="20"/>
                <w:lang w:val="en-US" w:eastAsia="uk-UA"/>
              </w:rPr>
            </w:pPr>
            <w:r>
              <w:rPr>
                <w:rFonts w:ascii="Times New Roman" w:eastAsia="Times New Roman" w:hAnsi="Times New Roman" w:cs="Times New Roman"/>
                <w:b/>
                <w:sz w:val="20"/>
                <w:szCs w:val="20"/>
                <w:lang w:eastAsia="uk-UA"/>
              </w:rPr>
              <w:t xml:space="preserve"> </w:t>
            </w:r>
            <w:r>
              <w:rPr>
                <w:rFonts w:ascii="Times New Roman" w:eastAsia="Times New Roman" w:hAnsi="Times New Roman" w:cs="Times New Roman"/>
                <w:b/>
                <w:sz w:val="20"/>
                <w:szCs w:val="20"/>
                <w:lang w:val="en-US" w:eastAsia="uk-UA"/>
              </w:rPr>
              <w:t>АТ "УкрСиббанк"</w:t>
            </w:r>
          </w:p>
        </w:tc>
      </w:tr>
      <w:tr>
        <w:tc>
          <w:tcPr>
            <w:tcW w:w="4920" w:type="dxa"/>
            <w:tcMar>
              <w:top w:w="60" w:type="dxa"/>
              <w:left w:w="60" w:type="dxa"/>
              <w:bottom w:w="60" w:type="dxa"/>
              <w:right w:w="60" w:type="dxa"/>
            </w:tcMar>
          </w:tcPr>
          <w:p>
            <w:pPr>
              <w:spacing w:after="0" w:line="240" w:lineRule="auto"/>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uk-UA" w:eastAsia="uk-UA"/>
              </w:rPr>
              <w:t>2) МФО банку</w:t>
            </w:r>
          </w:p>
        </w:tc>
        <w:tc>
          <w:tcPr>
            <w:tcW w:w="5040" w:type="dxa"/>
          </w:tcPr>
          <w:p>
            <w:pPr>
              <w:spacing w:after="0" w:line="240" w:lineRule="auto"/>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val="en-US" w:eastAsia="uk-UA"/>
              </w:rPr>
              <w:t xml:space="preserve"> 351005</w:t>
            </w:r>
          </w:p>
        </w:tc>
      </w:tr>
      <w:tr>
        <w:tc>
          <w:tcPr>
            <w:tcW w:w="4920" w:type="dxa"/>
            <w:tcMar>
              <w:top w:w="60" w:type="dxa"/>
              <w:left w:w="60" w:type="dxa"/>
              <w:bottom w:w="60" w:type="dxa"/>
              <w:right w:w="60" w:type="dxa"/>
            </w:tcMar>
          </w:tcPr>
          <w:p>
            <w:pPr>
              <w:spacing w:after="0" w:line="240" w:lineRule="auto"/>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uk-UA" w:eastAsia="uk-UA"/>
              </w:rPr>
              <w:t>3) Поточний рахунок</w:t>
            </w:r>
          </w:p>
        </w:tc>
        <w:tc>
          <w:tcPr>
            <w:tcW w:w="5040" w:type="dxa"/>
          </w:tcPr>
          <w:p>
            <w:pPr>
              <w:spacing w:after="0" w:line="240" w:lineRule="auto"/>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val="en-US" w:eastAsia="uk-UA"/>
              </w:rPr>
              <w:t xml:space="preserve"> UA41 3510 0500 0002 6003 8787 9420 9</w:t>
            </w:r>
          </w:p>
        </w:tc>
      </w:tr>
      <w:tr>
        <w:tc>
          <w:tcPr>
            <w:tcW w:w="4920" w:type="dxa"/>
            <w:tcMar>
              <w:top w:w="60" w:type="dxa"/>
              <w:left w:w="60" w:type="dxa"/>
              <w:bottom w:w="60" w:type="dxa"/>
              <w:right w:w="60" w:type="dxa"/>
            </w:tcMar>
          </w:tcPr>
          <w:p>
            <w:pPr>
              <w:spacing w:after="0" w:line="240" w:lineRule="auto"/>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uk-UA" w:eastAsia="uk-UA"/>
              </w:rPr>
              <w:t>4) Найменування банку (філії, відділення банку), який обслуговує емітента за поточним рахунком у іноземній валюті</w:t>
            </w:r>
          </w:p>
        </w:tc>
        <w:tc>
          <w:tcPr>
            <w:tcW w:w="5040" w:type="dxa"/>
          </w:tcPr>
          <w:p>
            <w:pPr>
              <w:spacing w:after="0" w:line="240" w:lineRule="auto"/>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eastAsia="uk-UA"/>
              </w:rPr>
              <w:t xml:space="preserve"> </w:t>
            </w:r>
            <w:r>
              <w:rPr>
                <w:rFonts w:ascii="Times New Roman" w:eastAsia="Times New Roman" w:hAnsi="Times New Roman" w:cs="Times New Roman"/>
                <w:b/>
                <w:sz w:val="20"/>
                <w:szCs w:val="20"/>
                <w:lang w:val="en-US" w:eastAsia="uk-UA"/>
              </w:rPr>
              <w:t>АТ "УкрСиббанк"</w:t>
            </w:r>
          </w:p>
        </w:tc>
      </w:tr>
      <w:tr>
        <w:tc>
          <w:tcPr>
            <w:tcW w:w="4920" w:type="dxa"/>
            <w:tcMar>
              <w:top w:w="60" w:type="dxa"/>
              <w:left w:w="60" w:type="dxa"/>
              <w:bottom w:w="60" w:type="dxa"/>
              <w:right w:w="60" w:type="dxa"/>
            </w:tcMar>
          </w:tcPr>
          <w:p>
            <w:pPr>
              <w:spacing w:after="0" w:line="240" w:lineRule="auto"/>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uk-UA" w:eastAsia="uk-UA"/>
              </w:rPr>
              <w:t>5) МФО банку</w:t>
            </w:r>
          </w:p>
        </w:tc>
        <w:tc>
          <w:tcPr>
            <w:tcW w:w="5040" w:type="dxa"/>
          </w:tcPr>
          <w:p>
            <w:pPr>
              <w:spacing w:after="0" w:line="240" w:lineRule="auto"/>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val="en-US" w:eastAsia="uk-UA"/>
              </w:rPr>
              <w:t xml:space="preserve"> 351005</w:t>
            </w:r>
          </w:p>
        </w:tc>
      </w:tr>
      <w:tr>
        <w:tc>
          <w:tcPr>
            <w:tcW w:w="4920" w:type="dxa"/>
            <w:tcMar>
              <w:top w:w="60" w:type="dxa"/>
              <w:left w:w="60" w:type="dxa"/>
              <w:bottom w:w="60" w:type="dxa"/>
              <w:right w:w="60" w:type="dxa"/>
            </w:tcMar>
          </w:tcPr>
          <w:p>
            <w:pPr>
              <w:spacing w:after="0" w:line="240" w:lineRule="auto"/>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uk-UA" w:eastAsia="uk-UA"/>
              </w:rPr>
              <w:t>6) Поточний рахунок</w:t>
            </w:r>
          </w:p>
        </w:tc>
        <w:tc>
          <w:tcPr>
            <w:tcW w:w="5040" w:type="dxa"/>
          </w:tcPr>
          <w:p>
            <w:pPr>
              <w:spacing w:after="0" w:line="240" w:lineRule="auto"/>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val="en-US" w:eastAsia="uk-UA"/>
              </w:rPr>
              <w:t xml:space="preserve"> UA41 3510 0500 0002 6003 8787 9420 9 (EUR)</w:t>
            </w:r>
          </w:p>
        </w:tc>
      </w:tr>
    </w:tbl>
    <w:p>
      <w:pPr>
        <w:spacing w:after="0" w:line="240" w:lineRule="auto"/>
        <w:rPr>
          <w:rFonts w:ascii="Times New Roman" w:eastAsia="Times New Roman" w:hAnsi="Times New Roman" w:cs="Times New Roman"/>
          <w:sz w:val="24"/>
          <w:szCs w:val="24"/>
          <w:lang w:eastAsia="uk-UA"/>
        </w:rPr>
      </w:pPr>
    </w:p>
    <w:p>
      <w:pPr>
        <w:sectPr>
          <w:pgSz w:w="11906" w:h="16838"/>
          <w:pgMar w:top="363" w:right="567" w:bottom="363" w:left="1417" w:header="708" w:footer="708"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tc>
          <w:tcPr>
            <w:tcW w:w="15480" w:type="dxa"/>
            <w:tcMar>
              <w:top w:w="60" w:type="dxa"/>
              <w:left w:w="60" w:type="dxa"/>
              <w:bottom w:w="60" w:type="dxa"/>
              <w:right w:w="60" w:type="dxa"/>
            </w:tcMar>
            <w:vAlign w:val="center"/>
          </w:tcPr>
          <w:p>
            <w:pPr>
              <w:spacing w:after="0" w:line="240" w:lineRule="auto"/>
              <w:ind w:left="-210"/>
              <w:jc w:val="center"/>
              <w:rPr>
                <w:rFonts w:ascii="Times New Roman" w:eastAsia="Times New Roman" w:hAnsi="Times New Roman" w:cs="Times New Roman"/>
                <w:b/>
                <w:bCs/>
                <w:sz w:val="28"/>
                <w:szCs w:val="28"/>
                <w:lang w:eastAsia="uk-UA"/>
              </w:rPr>
            </w:pPr>
            <w:r>
              <w:rPr>
                <w:rFonts w:ascii="Times New Roman" w:eastAsia="Times New Roman" w:hAnsi="Times New Roman" w:cs="Times New Roman"/>
                <w:b/>
                <w:bCs/>
                <w:sz w:val="28"/>
                <w:szCs w:val="28"/>
                <w:lang w:val="en-US" w:eastAsia="uk-UA"/>
              </w:rPr>
              <w:lastRenderedPageBreak/>
              <w:t>IV</w:t>
            </w:r>
            <w:r>
              <w:rPr>
                <w:rFonts w:ascii="Times New Roman" w:eastAsia="Times New Roman" w:hAnsi="Times New Roman" w:cs="Times New Roman"/>
                <w:b/>
                <w:bCs/>
                <w:sz w:val="28"/>
                <w:szCs w:val="28"/>
                <w:lang w:val="uk-UA" w:eastAsia="uk-UA"/>
              </w:rPr>
              <w:t>. Інформація про одержані ліцензії на окремі види діяльності</w:t>
            </w:r>
          </w:p>
        </w:tc>
      </w:tr>
    </w:tbl>
    <w:p>
      <w:pPr>
        <w:spacing w:after="0" w:line="240" w:lineRule="auto"/>
        <w:rPr>
          <w:rFonts w:ascii="Times New Roman" w:eastAsia="Times New Roman" w:hAnsi="Times New Roman" w:cs="Times New Roman"/>
          <w:vanish/>
          <w:color w:val="000000"/>
          <w:sz w:val="24"/>
          <w:szCs w:val="24"/>
          <w:lang w:val="uk-UA" w:eastAsia="uk-UA"/>
        </w:rPr>
      </w:pPr>
    </w:p>
    <w:tbl>
      <w:tblPr>
        <w:tblW w:w="15592" w:type="dxa"/>
        <w:tblInd w:w="240" w:type="dxa"/>
        <w:tblLayout w:type="fixed"/>
        <w:tblCellMar>
          <w:top w:w="15" w:type="dxa"/>
          <w:left w:w="15" w:type="dxa"/>
          <w:bottom w:w="15" w:type="dxa"/>
          <w:right w:w="15" w:type="dxa"/>
        </w:tblCellMar>
        <w:tblLook w:val="0000" w:firstRow="0" w:lastRow="0" w:firstColumn="0" w:lastColumn="0" w:noHBand="0" w:noVBand="0"/>
      </w:tblPr>
      <w:tblGrid>
        <w:gridCol w:w="4040"/>
        <w:gridCol w:w="2393"/>
        <w:gridCol w:w="1649"/>
        <w:gridCol w:w="5746"/>
        <w:gridCol w:w="1764"/>
      </w:tblGrid>
      <w:tr>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Вид діяльності</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Номер ліцензії</w:t>
            </w:r>
            <w:r>
              <w:rPr>
                <w:rFonts w:ascii="Times New Roman" w:eastAsia="Times New Roman" w:hAnsi="Times New Roman" w:cs="Times New Roman"/>
                <w:b/>
                <w:bCs/>
                <w:sz w:val="20"/>
                <w:szCs w:val="20"/>
                <w:lang w:val="en-US" w:eastAsia="uk-UA"/>
              </w:rPr>
              <w:t xml:space="preserve">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Дата видачі</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Орган державної влади, що видав ліцензію</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Дата закінчення дії ліцензії  (за наявності )</w:t>
            </w:r>
          </w:p>
        </w:tc>
      </w:tr>
      <w:tr>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1</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2</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3</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4</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5</w:t>
            </w:r>
          </w:p>
        </w:tc>
      </w:tr>
      <w:tr>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Оптова торгівля алкогольними напоями - сидром та перрі (без додання спирту)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990209202100031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28.04.2021</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Головне управління ДПС у Запорізькій області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28.04.2026                                                                                          </w:t>
            </w:r>
          </w:p>
        </w:tc>
      </w:tr>
      <w:tr>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Опис</w:t>
            </w:r>
          </w:p>
        </w:tc>
        <w:tc>
          <w:tcPr>
            <w:tcW w:w="1155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spacing w:after="0" w:line="240" w:lineRule="auto"/>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Ліцензія діє на постійній основі, в подальшому термін дії буде подовжено.</w:t>
            </w:r>
          </w:p>
        </w:tc>
      </w:tr>
      <w:tr>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Виробництво алкогольних напоїв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990108202000077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22.12.2020</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Державна податкова служба України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22.12.2025                                                                                          </w:t>
            </w:r>
          </w:p>
        </w:tc>
      </w:tr>
      <w:tr>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Опис</w:t>
            </w:r>
          </w:p>
        </w:tc>
        <w:tc>
          <w:tcPr>
            <w:tcW w:w="1155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spacing w:after="0" w:line="240" w:lineRule="auto"/>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Ліцензія діє на постійній основі, в подальшому термін дії буде подовжено.</w:t>
            </w:r>
          </w:p>
        </w:tc>
      </w:tr>
      <w:tr>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Оптова торгівля алкогольними напоями, крім сидру та перрі (без додання спирту)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990208202000086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22.06.2020</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Державна податкова служба України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22.06.2025                                                                                          </w:t>
            </w:r>
          </w:p>
        </w:tc>
      </w:tr>
      <w:tr>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Опис</w:t>
            </w:r>
          </w:p>
        </w:tc>
        <w:tc>
          <w:tcPr>
            <w:tcW w:w="1155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spacing w:after="0" w:line="240" w:lineRule="auto"/>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Ліцензія діє на постійній основі, в подальшому термін дії буде подовжено.</w:t>
            </w:r>
          </w:p>
        </w:tc>
      </w:tr>
      <w:tr>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Придбання, зберігання, використання прекурсорів (списку 2 таблиці IV) "Переліку наркотичних засобів, психотропних речовин і прекурсорів"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544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15.11.2016</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Державна служба України з контролю за наркотиками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15.11.2021                                                                                          </w:t>
            </w:r>
          </w:p>
        </w:tc>
      </w:tr>
      <w:tr>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Опис</w:t>
            </w:r>
          </w:p>
        </w:tc>
        <w:tc>
          <w:tcPr>
            <w:tcW w:w="1155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spacing w:after="0" w:line="240" w:lineRule="auto"/>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Термін дії даного дозволу на зазначений вид діяльності закінчився у 4-му кварталі 2021р. у зв'язку з чим Товариством  25.11.2021р. був отриманий новий дозвіл.</w:t>
            </w:r>
          </w:p>
        </w:tc>
      </w:tr>
      <w:tr>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Придбання, зберігання, використання, ввезення на територію України прекурсорів (списку 2 таблиці IV) "Переліку наркотичних засобів, психотропних речовин і прекурсорів"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б/н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25.11.2021</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Державна служба України з лікарських засобів та контролю за наркотиками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25.11.2026                                                                                          </w:t>
            </w:r>
          </w:p>
        </w:tc>
      </w:tr>
      <w:tr>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Опис</w:t>
            </w:r>
          </w:p>
        </w:tc>
        <w:tc>
          <w:tcPr>
            <w:tcW w:w="1155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spacing w:after="0" w:line="240" w:lineRule="auto"/>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Товариство використовує прекурсори у технологічному процесі. Дозвіл діє на постійній основі, в подальшому термін дії буде подовжено.</w:t>
            </w:r>
          </w:p>
        </w:tc>
      </w:tr>
    </w:tbl>
    <w:p>
      <w:pPr>
        <w:spacing w:after="0" w:line="240" w:lineRule="auto"/>
        <w:rPr>
          <w:rFonts w:ascii="Times New Roman" w:eastAsia="Times New Roman" w:hAnsi="Times New Roman" w:cs="Times New Roman"/>
          <w:vanish/>
          <w:color w:val="000000"/>
          <w:sz w:val="24"/>
          <w:szCs w:val="24"/>
          <w:lang w:val="uk-UA" w:eastAsia="uk-UA"/>
        </w:rPr>
      </w:pPr>
    </w:p>
    <w:p>
      <w:pPr>
        <w:spacing w:after="0" w:line="240" w:lineRule="auto"/>
        <w:rPr>
          <w:rFonts w:ascii="Times New Roman" w:eastAsia="Times New Roman" w:hAnsi="Times New Roman" w:cs="Times New Roman"/>
          <w:sz w:val="24"/>
          <w:szCs w:val="24"/>
          <w:lang w:val="uk-UA" w:eastAsia="uk-UA"/>
        </w:rPr>
      </w:pPr>
    </w:p>
    <w:p>
      <w:pPr>
        <w:sectPr>
          <w:pgSz w:w="16838" w:h="11906" w:orient="landscape"/>
          <w:pgMar w:top="1417" w:right="363" w:bottom="850" w:left="363" w:header="709" w:footer="709" w:gutter="0"/>
          <w:cols w:space="708"/>
          <w:docGrid w:linePitch="360"/>
        </w:sectPr>
      </w:pPr>
    </w:p>
    <w:tbl>
      <w:tblPr>
        <w:tblW w:w="14144" w:type="dxa"/>
        <w:tblInd w:w="420" w:type="dxa"/>
        <w:tblCellMar>
          <w:top w:w="15" w:type="dxa"/>
          <w:left w:w="15" w:type="dxa"/>
          <w:bottom w:w="15" w:type="dxa"/>
          <w:right w:w="15" w:type="dxa"/>
        </w:tblCellMar>
        <w:tblLook w:val="0000" w:firstRow="0" w:lastRow="0" w:firstColumn="0" w:lastColumn="0" w:noHBand="0" w:noVBand="0"/>
      </w:tblPr>
      <w:tblGrid>
        <w:gridCol w:w="14924"/>
      </w:tblGrid>
      <w:tr>
        <w:trPr>
          <w:trHeight w:val="421"/>
        </w:trPr>
        <w:tc>
          <w:tcPr>
            <w:tcW w:w="14144" w:type="dxa"/>
            <w:tcMar>
              <w:top w:w="60" w:type="dxa"/>
              <w:left w:w="60" w:type="dxa"/>
              <w:bottom w:w="60" w:type="dxa"/>
              <w:right w:w="60" w:type="dxa"/>
            </w:tcMar>
            <w:vAlign w:val="center"/>
          </w:tcPr>
          <w:tbl>
            <w:tblPr>
              <w:tblW w:w="14804" w:type="dxa"/>
              <w:tblCellMar>
                <w:top w:w="15" w:type="dxa"/>
                <w:left w:w="15" w:type="dxa"/>
                <w:bottom w:w="15" w:type="dxa"/>
                <w:right w:w="15" w:type="dxa"/>
              </w:tblCellMar>
              <w:tblLook w:val="0000" w:firstRow="0" w:lastRow="0" w:firstColumn="0" w:lastColumn="0" w:noHBand="0" w:noVBand="0"/>
            </w:tblPr>
            <w:tblGrid>
              <w:gridCol w:w="14804"/>
            </w:tblGrid>
            <w:tr>
              <w:trPr>
                <w:trHeight w:val="538"/>
              </w:trPr>
              <w:tc>
                <w:tcPr>
                  <w:tcW w:w="14804" w:type="dxa"/>
                  <w:tcMar>
                    <w:top w:w="60" w:type="dxa"/>
                    <w:left w:w="60" w:type="dxa"/>
                    <w:bottom w:w="60" w:type="dxa"/>
                    <w:right w:w="60" w:type="dxa"/>
                  </w:tcMar>
                  <w:vAlign w:val="center"/>
                </w:tcPr>
                <w:p>
                  <w:pPr>
                    <w:spacing w:after="0" w:line="240" w:lineRule="auto"/>
                    <w:ind w:left="-210" w:right="-2836"/>
                    <w:jc w:val="center"/>
                    <w:rPr>
                      <w:rFonts w:ascii="Times New Roman" w:eastAsia="Times New Roman" w:hAnsi="Times New Roman" w:cs="Times New Roman"/>
                      <w:b/>
                      <w:bCs/>
                      <w:sz w:val="28"/>
                      <w:szCs w:val="28"/>
                      <w:lang w:val="uk-UA" w:eastAsia="uk-UA"/>
                    </w:rPr>
                  </w:pPr>
                  <w:r>
                    <w:rPr>
                      <w:rFonts w:ascii="Times New Roman" w:eastAsia="Times New Roman" w:hAnsi="Times New Roman" w:cs="Times New Roman"/>
                      <w:b/>
                      <w:color w:val="000000"/>
                      <w:sz w:val="28"/>
                      <w:szCs w:val="28"/>
                      <w:lang w:val="en-US" w:eastAsia="uk-UA"/>
                    </w:rPr>
                    <w:lastRenderedPageBreak/>
                    <w:t>V</w:t>
                  </w:r>
                  <w:r>
                    <w:rPr>
                      <w:rFonts w:ascii="Times New Roman" w:eastAsia="Times New Roman" w:hAnsi="Times New Roman" w:cs="Times New Roman"/>
                      <w:b/>
                      <w:color w:val="000000"/>
                      <w:sz w:val="28"/>
                      <w:szCs w:val="28"/>
                      <w:lang w:val="uk-UA" w:eastAsia="uk-UA"/>
                    </w:rPr>
                    <w:t>. Інформація про посадових осіб емітента</w:t>
                  </w:r>
                </w:p>
              </w:tc>
            </w:tr>
          </w:tbl>
          <w:p>
            <w:pPr>
              <w:spacing w:after="0" w:line="240" w:lineRule="auto"/>
              <w:rPr>
                <w:rFonts w:ascii="Times New Roman" w:eastAsia="Times New Roman" w:hAnsi="Times New Roman" w:cs="Times New Roman"/>
                <w:b/>
                <w:bCs/>
                <w:sz w:val="24"/>
                <w:szCs w:val="24"/>
                <w:lang w:val="uk-UA" w:eastAsia="uk-UA"/>
              </w:rPr>
            </w:pPr>
          </w:p>
        </w:tc>
      </w:tr>
    </w:tbl>
    <w:p>
      <w:pPr>
        <w:spacing w:after="0" w:line="240" w:lineRule="auto"/>
        <w:rPr>
          <w:rFonts w:ascii="Times New Roman" w:eastAsia="Times New Roman" w:hAnsi="Times New Roman" w:cs="Times New Roman"/>
          <w:vanish/>
          <w:sz w:val="24"/>
          <w:szCs w:val="24"/>
          <w:lang w:val="uk-UA" w:eastAsia="uk-UA"/>
        </w:rPr>
      </w:pPr>
    </w:p>
    <w:tbl>
      <w:tblPr>
        <w:tblW w:w="15538" w:type="dxa"/>
        <w:tblInd w:w="-127" w:type="dxa"/>
        <w:tblLayout w:type="fixed"/>
        <w:tblCellMar>
          <w:top w:w="15" w:type="dxa"/>
          <w:left w:w="15" w:type="dxa"/>
          <w:bottom w:w="15" w:type="dxa"/>
          <w:right w:w="15" w:type="dxa"/>
        </w:tblCellMar>
        <w:tblLook w:val="0000" w:firstRow="0" w:lastRow="0" w:firstColumn="0" w:lastColumn="0" w:noHBand="0" w:noVBand="0"/>
      </w:tblPr>
      <w:tblGrid>
        <w:gridCol w:w="568"/>
        <w:gridCol w:w="2706"/>
        <w:gridCol w:w="3614"/>
        <w:gridCol w:w="746"/>
        <w:gridCol w:w="3615"/>
        <w:gridCol w:w="941"/>
        <w:gridCol w:w="3348"/>
      </w:tblGrid>
      <w:tr>
        <w:trPr>
          <w:trHeight w:val="984"/>
        </w:trPr>
        <w:tc>
          <w:tcPr>
            <w:tcW w:w="568"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w:t>
            </w:r>
          </w:p>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з/п</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tabs>
                <w:tab w:val="left" w:pos="214"/>
              </w:tabs>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Посада</w:t>
            </w:r>
          </w:p>
        </w:tc>
        <w:tc>
          <w:tcPr>
            <w:tcW w:w="3614"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sz w:val="20"/>
                <w:szCs w:val="20"/>
                <w:lang w:val="uk-UA" w:eastAsia="uk-UA"/>
              </w:rPr>
              <w:t xml:space="preserve">Прізвище, ім'я, по батькові </w:t>
            </w:r>
            <w:bookmarkStart w:id="1" w:name="10109"/>
            <w:bookmarkEnd w:id="1"/>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Рік народження</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Освіта</w:t>
            </w:r>
          </w:p>
        </w:tc>
        <w:tc>
          <w:tcPr>
            <w:tcW w:w="941"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Стаж роботи (років)</w:t>
            </w:r>
          </w:p>
        </w:tc>
        <w:tc>
          <w:tcPr>
            <w:tcW w:w="3348" w:type="dxa"/>
            <w:tcBorders>
              <w:top w:val="single" w:sz="6" w:space="0" w:color="000000"/>
              <w:left w:val="single" w:sz="6" w:space="0" w:color="000000"/>
              <w:right w:val="single" w:sz="6" w:space="0" w:color="000000"/>
            </w:tcBorders>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 xml:space="preserve">  Найменування підприємства, ідентифікаційний код юридичної особи та посада, яку займав </w:t>
            </w:r>
          </w:p>
        </w:tc>
      </w:tr>
      <w:tr>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jc w:val="center"/>
              <w:rPr>
                <w:rFonts w:ascii="Times New Roman" w:eastAsia="Times New Roman" w:hAnsi="Times New Roman" w:cs="Times New Roman"/>
                <w:b/>
                <w:bCs/>
                <w:sz w:val="20"/>
                <w:szCs w:val="20"/>
                <w:lang w:val="en-US" w:eastAsia="uk-UA"/>
              </w:rPr>
            </w:pPr>
            <w:r>
              <w:rPr>
                <w:rFonts w:ascii="Times New Roman" w:eastAsia="Times New Roman" w:hAnsi="Times New Roman" w:cs="Times New Roman"/>
                <w:b/>
                <w:bCs/>
                <w:sz w:val="20"/>
                <w:szCs w:val="20"/>
                <w:lang w:val="en-US" w:eastAsia="uk-UA"/>
              </w:rPr>
              <w:t>1</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en-US" w:eastAsia="uk-UA"/>
              </w:rPr>
            </w:pPr>
            <w:r>
              <w:rPr>
                <w:rFonts w:ascii="Times New Roman" w:eastAsia="Times New Roman" w:hAnsi="Times New Roman" w:cs="Times New Roman"/>
                <w:b/>
                <w:bCs/>
                <w:sz w:val="20"/>
                <w:szCs w:val="20"/>
                <w:lang w:val="en-US" w:eastAsia="uk-UA"/>
              </w:rPr>
              <w:t>2</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en-US" w:eastAsia="uk-UA"/>
              </w:rPr>
            </w:pPr>
            <w:r>
              <w:rPr>
                <w:rFonts w:ascii="Times New Roman" w:eastAsia="Times New Roman" w:hAnsi="Times New Roman" w:cs="Times New Roman"/>
                <w:b/>
                <w:bCs/>
                <w:sz w:val="20"/>
                <w:szCs w:val="20"/>
                <w:lang w:val="en-US" w:eastAsia="uk-UA"/>
              </w:rPr>
              <w:t>3</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en-US" w:eastAsia="uk-UA"/>
              </w:rPr>
            </w:pPr>
            <w:r>
              <w:rPr>
                <w:rFonts w:ascii="Times New Roman" w:eastAsia="Times New Roman" w:hAnsi="Times New Roman" w:cs="Times New Roman"/>
                <w:b/>
                <w:bCs/>
                <w:sz w:val="20"/>
                <w:szCs w:val="20"/>
                <w:lang w:val="en-US" w:eastAsia="uk-UA"/>
              </w:rPr>
              <w:t>4</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en-US" w:eastAsia="uk-UA"/>
              </w:rPr>
            </w:pPr>
            <w:r>
              <w:rPr>
                <w:rFonts w:ascii="Times New Roman" w:eastAsia="Times New Roman" w:hAnsi="Times New Roman" w:cs="Times New Roman"/>
                <w:b/>
                <w:bCs/>
                <w:sz w:val="20"/>
                <w:szCs w:val="20"/>
                <w:lang w:val="en-US" w:eastAsia="uk-UA"/>
              </w:rPr>
              <w:t>5</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en-US" w:eastAsia="uk-UA"/>
              </w:rPr>
            </w:pPr>
            <w:r>
              <w:rPr>
                <w:rFonts w:ascii="Times New Roman" w:eastAsia="Times New Roman" w:hAnsi="Times New Roman" w:cs="Times New Roman"/>
                <w:b/>
                <w:bCs/>
                <w:sz w:val="20"/>
                <w:szCs w:val="20"/>
                <w:lang w:val="en-US" w:eastAsia="uk-UA"/>
              </w:rPr>
              <w:t>6</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en-US" w:eastAsia="uk-UA"/>
              </w:rPr>
            </w:pPr>
            <w:r>
              <w:rPr>
                <w:rFonts w:ascii="Times New Roman" w:eastAsia="Times New Roman" w:hAnsi="Times New Roman" w:cs="Times New Roman"/>
                <w:b/>
                <w:bCs/>
                <w:sz w:val="20"/>
                <w:szCs w:val="20"/>
                <w:lang w:val="en-US" w:eastAsia="uk-UA"/>
              </w:rPr>
              <w:t>7</w:t>
            </w:r>
          </w:p>
        </w:tc>
      </w:tr>
      <w:tr>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1</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 xml:space="preserve">Генеральний директор                                                                                </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 xml:space="preserve">Шевченко Євген Вікторович                                                                                                                                                                                                                                     </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1976</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 xml:space="preserve">вища                                                                                                                                                                                                                                                          </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23</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Компанії "Балтика"  (Російська Федерація)</w:t>
            </w:r>
          </w:p>
          <w:p>
            <w:pPr>
              <w:spacing w:after="0" w:line="240" w:lineRule="auto"/>
              <w:jc w:val="center"/>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01824944</w:t>
            </w:r>
          </w:p>
          <w:p>
            <w:pPr>
              <w:spacing w:after="0" w:line="240" w:lineRule="auto"/>
              <w:jc w:val="center"/>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 xml:space="preserve">Віце-президент з продажів                                                                                                                                                                                     </w:t>
            </w:r>
          </w:p>
          <w:p>
            <w:pPr>
              <w:spacing w:after="0" w:line="240" w:lineRule="auto"/>
              <w:jc w:val="center"/>
              <w:rPr>
                <w:rFonts w:ascii="Times New Roman" w:eastAsia="Times New Roman" w:hAnsi="Times New Roman" w:cs="Times New Roman"/>
                <w:bCs/>
                <w:sz w:val="20"/>
                <w:szCs w:val="20"/>
                <w:lang w:eastAsia="uk-UA"/>
              </w:rPr>
            </w:pPr>
          </w:p>
          <w:p>
            <w:pPr>
              <w:spacing w:after="0" w:line="240" w:lineRule="auto"/>
              <w:jc w:val="center"/>
              <w:rPr>
                <w:rFonts w:ascii="Times New Roman" w:eastAsia="Times New Roman" w:hAnsi="Times New Roman" w:cs="Times New Roman"/>
                <w:bCs/>
                <w:sz w:val="20"/>
                <w:szCs w:val="20"/>
                <w:lang w:eastAsia="uk-UA"/>
              </w:rPr>
            </w:pPr>
          </w:p>
        </w:tc>
      </w:tr>
      <w:tr>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Опис</w:t>
            </w:r>
          </w:p>
        </w:tc>
        <w:tc>
          <w:tcPr>
            <w:tcW w:w="1497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 xml:space="preserve">Генеральний директор, як одноосібний виконавчий орган Товариства, наділений всіма повноваженнями першої особи, які не суперечать діючому законодавству та Статуту емітента. Головним обов'язком Генерального директора є керівництво поточною діяльністю підприємства та забезпечення виконання рішень загальних Зборів акціонерів та Наглядової ради Товариства. Повноваження Генерального директора закріплені в Статуті Товариства. </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 xml:space="preserve">   Основні повноваження Генерального директора: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без довіреності здійснює дії від імені Товариства у межах наданих йому повноважень;</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представляє Товариство в його відносинах з іншими юридичними і фізичними особами, державними і громадськими підприємствами, установами та організаціями, в межах наданих йому повноважень;</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веде переговори, укладає від імені Товариства угоди та здійснює інші дії згідно відповідних рішень Наглядової ради та Загальних зборів акціонерів, прийнятих останніми у межах наданих їм повноважень;</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 xml:space="preserve">самостійно вчиняє правочини щодо: </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самостійно вчиняє правочини щодо: отримання кредиту; отримання та надання позики; надання майна Товариства в заставу; розпорядження основними засобами Товариства; поруки за зобов'язаннями третіх осіб, на суму до 4 000 000 євро (у еквіваленті національної валюти України - гривні, за курсом НБУ на дату вчинення правочину);</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самостійно вчиняє всі правочини, необхідні для організації, ведення та забезпечення господарської діяльності Товариства на суму до 10 відсотків вартості активів за даними останньої річної фінансової звітності Товариства, крім правочинів зазначених у абзаці першому цього пункту;</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видає накази, розпорядження і вказівки, обов'язкові для всіх працівників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видає довіреності на представлення інтересів та здійснення дій від імені і в інтересах Товариства в межах наданих повноважень;</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приймає на роботу та звільняє працівників підприємства, переводить на іншу роботу, накладає стягнення та заохочення;</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затверджує графік відпусток та надає відпустки;</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в межах своєї компетенції керує поточними справами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готує, організовує і забезпечує проведення Загальних зборів акціонерів;</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організовує виконання рішень загальних Зборів акціонерів і Наглядової ради;</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організовує емісійну діяльність Товариства відповідно до чинного законодавства, рішень Наглядової ради і Загальних зборів акціонерів в межах їх компетенції;</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розробляє пропозиції по основних напрямках і формах діяльності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lastRenderedPageBreak/>
              <w:t>-</w:t>
            </w:r>
            <w:r>
              <w:rPr>
                <w:rFonts w:ascii="Times New Roman" w:eastAsia="Times New Roman" w:hAnsi="Times New Roman" w:cs="Times New Roman"/>
                <w:bCs/>
                <w:sz w:val="20"/>
                <w:szCs w:val="20"/>
                <w:lang w:eastAsia="uk-UA"/>
              </w:rPr>
              <w:tab/>
              <w:t>розробляє та затверджує поточні фінансово-господарські плани і оперативні завдання Товариства та забезпечує їх реалізацію;</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забезпечує ефективність господарської діяльності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забезпечує реалізацію схвалених Наглядовою радою інвестиційних проектів;</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приймає рішення про передачу в оренду, в лізинг майна;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розглядає результати аудиторських перевірок і перевірок Ревізійної комісії, розробляє заходи по усуненню виявлених недоліків в діяльності Товариства і організує їх виконання;</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готує для розгляду Загальними зборами акціонерів пропозиції про порядок використання прибутку Товариства і порядок покриття його збитків;</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організує документообіг і звітність відповідно до чинного законодавства;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забезпечує облік, раціональне використання і збереження майна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забезпечує дотримання законності в діяльності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визначає умови праці та умови її оплати особам, що знаходяться у трудових відносинах з Товариством, затверджує штатний розклад Товариства та зміни до нього;</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приймає рішення про притягнення до майнової відповідальності осіб, що знаходяться у трудових відносинах з Товариством;</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представляє інтереси власника у взаємовідносинах з трудовим колективом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готує перелік інформації, яка є комерційною таємницею і конфіденційною інформацією, відповідно до чинного законодавства і забезпечує захист такої інформації</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організує військовий облік і мобілізаційну підготовку, забезпечує захист державної таємниці відповідно до чинного законодавства України;</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приймає рішення про зупинення роботи Товариства або його структурних підрозділів;</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затверджує ціни на продукцію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відкриває та закриває рахунки у банківських установах, здійснює операції з ними та по них, підписує відповідні договори;</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підписує від імені Товариства колективний договір, зміни та доповнення до нього;</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приймає рішення про надання благодійної допомоги;</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приймає рішення про скорочення чисельності, штату працівників, прийняття рішення про створення, реорганізацію, ліквідацію підрозділів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здійснює інші дії, які необхідні для організації, ведення та забезпечення господарської діяльності Товариства і які не відносяться до компетенції Загальних зборів акціонерів та Наглядової ради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визначає умови оплати праці керівників дочірніх підприємств, філій та представництв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визначає місцезнаходження Товариства. Генеральний директор, у разі прийняття рішення про зміну місцезнаходження Товариства, повідомляє про це Наглядову раду Товариства та організовує таку зміну місцезнаходження відповідно до чинного законодавства.</w:t>
            </w:r>
          </w:p>
          <w:p>
            <w:pPr>
              <w:spacing w:after="0" w:line="240" w:lineRule="auto"/>
              <w:rPr>
                <w:rFonts w:ascii="Times New Roman" w:eastAsia="Times New Roman" w:hAnsi="Times New Roman" w:cs="Times New Roman"/>
                <w:bCs/>
                <w:sz w:val="20"/>
                <w:szCs w:val="20"/>
                <w:lang w:eastAsia="uk-UA"/>
              </w:rPr>
            </w:pP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 xml:space="preserve">   Протягом звітого періоду додаткової винагороди, крім заробітної плати згідно штатного розкладу, в тому числі і в натуральній формі, Генеральний директор в Товаристві не отримував, посад на будь-яких інших підприємствах не обіймав. </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Непогашеної судимост</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за корислив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та посадов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злочини Генеральний директор Товариства не має, до адм</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н</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стративної 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дпов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дальност</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не притягався. Загальний стаж роботи становить 23 роки. Протягом останніх п'яти років обіймав посаду Генерального директора ПрАТ "Карлсберг Україна", протягом звітного періоду змін не було.</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 xml:space="preserve">   Згідно рішення єдиного акціонера Товариства № 4/2021 від 09 грудня 2021 року повноваження Генерального директора Шевченка Євгена Вікторовича були припинені з 31.12.2021р. На дану посаду з 01.01.2022р. обраний Хайдакін Олег Ігорович, який і підписує проміжний звіт Товариства за 4-й квартал 2021 року.</w:t>
            </w:r>
          </w:p>
        </w:tc>
      </w:tr>
      <w:tr>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lastRenderedPageBreak/>
              <w:t>2</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 xml:space="preserve">Головний бухгалтер                                                                                  </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 xml:space="preserve">Дорошенко Катерина Володимирiвна                                                                                                                                                                                                                              </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1957</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 xml:space="preserve">вища                                                                                                                                                                                                                                                          </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42</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ВАТ "ПБК "Славутич"</w:t>
            </w:r>
          </w:p>
          <w:p>
            <w:pPr>
              <w:spacing w:after="0" w:line="240" w:lineRule="auto"/>
              <w:jc w:val="center"/>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00377511</w:t>
            </w:r>
          </w:p>
          <w:p>
            <w:pPr>
              <w:spacing w:after="0" w:line="240" w:lineRule="auto"/>
              <w:jc w:val="center"/>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Головний бухгалтер</w:t>
            </w:r>
          </w:p>
        </w:tc>
      </w:tr>
      <w:tr>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Опис</w:t>
            </w:r>
          </w:p>
        </w:tc>
        <w:tc>
          <w:tcPr>
            <w:tcW w:w="1497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spacing w:after="0" w:line="240" w:lineRule="auto"/>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Головний бухгалтер забезпечує ведення бухгалтерського облiку з дотриманням вимог законодавства України, Міжнародних стандартів фінансової звітності (МСФЗ) з урахуванням особливостей дiяльностi пiдприємства. Основними обов'язками є ведення, складання та надання у встановленi строки фiнансової звiтностi, контроль за вiдображенням на вiдповiдних рахунках всiх господарських операцiй, дотримання технологiї обробки бухгалтерської iнформацiї i порядку документообороту.</w:t>
            </w:r>
          </w:p>
          <w:p>
            <w:pPr>
              <w:spacing w:after="0" w:line="240" w:lineRule="auto"/>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 xml:space="preserve">   Повноваження Головного бухгалтера: </w:t>
            </w:r>
          </w:p>
          <w:p>
            <w:pPr>
              <w:spacing w:after="0" w:line="240" w:lineRule="auto"/>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lastRenderedPageBreak/>
              <w:t xml:space="preserve">1) здiйснює органiзацiю бухгалтерського облiку фiнансово-господарської дiяльностi пiдприємства і контроль за економним використанням матерiальних, трудових та фiнансових ресурсiв, збереженням майна пiдприємства;  </w:t>
            </w:r>
          </w:p>
          <w:p>
            <w:pPr>
              <w:spacing w:after="0" w:line="240" w:lineRule="auto"/>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 xml:space="preserve">2) забезпечує рацiональну органiзацiю облiку i звiтностi на пiдприємствi i в його пiдроздiлах на основi максимальної централiзацiї i механiзацiї облiкових робiт, прогресивних форм i методiв бухгалтерського облiку i контролю; </w:t>
            </w:r>
          </w:p>
          <w:p>
            <w:pPr>
              <w:spacing w:after="0" w:line="240" w:lineRule="auto"/>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 xml:space="preserve">3) органiзовує облiк грошових мас, якi надходять на пiдприємство, товарно-матерiальних цiнностей, основних засобiв, своєчасне вiдображення на рахунках бухгалтерського облiку операцiй, пов'язаних з їх рухом, облiк видаткiв виробництва, комерцiйної дiяльностi, виконання робiт (послуг), результатiв фiнансово-господарської дiяльностi пiдприємства, а також фiнансових, розрахункових i кредитних операцiй; </w:t>
            </w:r>
          </w:p>
          <w:p>
            <w:pPr>
              <w:spacing w:after="0" w:line="240" w:lineRule="auto"/>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4) контролює розрахунки по заробiтнiй платi з працівниками пiдприємства, правильне нарахування i перерахування платежiв в державний і місцевий бюджети, обгрунтованiсть використання засобiв на фiнансування капiтальних вкладень, тощо.</w:t>
            </w:r>
          </w:p>
          <w:p>
            <w:pPr>
              <w:spacing w:after="0" w:line="240" w:lineRule="auto"/>
              <w:rPr>
                <w:rFonts w:ascii="Times New Roman" w:eastAsia="Times New Roman" w:hAnsi="Times New Roman" w:cs="Times New Roman"/>
                <w:bCs/>
                <w:sz w:val="20"/>
                <w:szCs w:val="20"/>
                <w:lang w:val="en-US" w:eastAsia="uk-UA"/>
              </w:rPr>
            </w:pP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val="en-US" w:eastAsia="uk-UA"/>
              </w:rPr>
              <w:t xml:space="preserve">   </w:t>
            </w:r>
            <w:r>
              <w:rPr>
                <w:rFonts w:ascii="Times New Roman" w:eastAsia="Times New Roman" w:hAnsi="Times New Roman" w:cs="Times New Roman"/>
                <w:bCs/>
                <w:sz w:val="20"/>
                <w:szCs w:val="20"/>
                <w:lang w:eastAsia="uk-UA"/>
              </w:rPr>
              <w:t xml:space="preserve">Протягом звітого періоду додаткової винагороди, крім заробітної плати згідно штатного розкладу, в тому числі і в натуральній формі, Головний бухгалтер в Товаристві не отримував. Посад на будь-яких </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нших п</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дприємствах особа не обіймає.                                                                           Головний бухгалтер непогашеної судимост</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за корислив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та посадов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злочини не має, до адм</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н</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стративної 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дпов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дальност</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не притягався. Загальний стаж роботи становить 42 роки. Головним бухгалтером в Товаристві працює з листопада 1999 року, У звітному періоді змін не було.  </w:t>
            </w:r>
          </w:p>
          <w:p>
            <w:pPr>
              <w:spacing w:after="0" w:line="240" w:lineRule="auto"/>
              <w:rPr>
                <w:rFonts w:ascii="Times New Roman" w:eastAsia="Times New Roman" w:hAnsi="Times New Roman" w:cs="Times New Roman"/>
                <w:bCs/>
                <w:sz w:val="20"/>
                <w:szCs w:val="20"/>
                <w:lang w:eastAsia="uk-UA"/>
              </w:rPr>
            </w:pPr>
          </w:p>
        </w:tc>
      </w:tr>
      <w:tr>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lastRenderedPageBreak/>
              <w:t>3</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 xml:space="preserve">Голова Наглядової ради - представник акціонера Балтик Бевериджиз </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нвест Акцеболаг                   </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 xml:space="preserve">Ларс Леманн                                                                                                                                                                                                                                                   </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1966</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 xml:space="preserve">вища                                                                                                                                                                                                                                                          </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27</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Компанія "Балтика"  (Російська Федерація)</w:t>
            </w:r>
          </w:p>
          <w:p>
            <w:pPr>
              <w:spacing w:after="0" w:line="240" w:lineRule="auto"/>
              <w:jc w:val="center"/>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01824944</w:t>
            </w:r>
          </w:p>
          <w:p>
            <w:pPr>
              <w:spacing w:after="0" w:line="240" w:lineRule="auto"/>
              <w:jc w:val="center"/>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Президент , Виконавчий віце-президент у регіоні Східна Європа</w:t>
            </w:r>
          </w:p>
        </w:tc>
      </w:tr>
      <w:tr>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Опис</w:t>
            </w:r>
          </w:p>
        </w:tc>
        <w:tc>
          <w:tcPr>
            <w:tcW w:w="1497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 xml:space="preserve">Голова Наглядової ради є керівником органу Товариства, який здійснює захист прав акціонерів Товариства і в межах компетенції, визначеної Статутом Товариством та законом, здійснює управління Товариством, а також контролює та регулює діяльність виконавчого органу. Основними обов'язками Голови є керування роботою Наглядової ради, скликання її засідань та виконання інших функцій, які визначені Статутом та "Положенням про Наглядову раду" Товариства. </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 xml:space="preserve">   До виключної компетенції Наглядової ради належить: </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затвердження в межах своєї компетенції положень, якими регулюються питання, пов'язані з діяльністю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підготовка порядку денного Загальних зборів акціонерів, прийняття рішення про дату їх проведення та про включення пропозицій до порядку денного, крім скликання акціонерами позачергових Загальних зборів акціонерів; затвердження форми і тексту бюлетеня для голосування;</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прийняття рішення про проведення чергових або позачергових Загальних зборів акціонерів відповідно до Статуту Товариства та у випадках, встановлених законом;</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прийняття рішення про продаж раніше викуплених Товариством акцій;</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прийняття рішення про розміщення Товариством інших цінних паперів, крім акцій;</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прийняття рішення про викуп розміщених Товариством інших, крім акцій, цінних паперів;</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затвердження ринкової вартості майна у випадках, передбачених законом;</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обрання та припинення повноважень Генерального директора Товариства; розгляд звіту Генерального директора Товариства та затвердження заходів за результатами його розгляду;</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затвердження умов контракту, який укладатиметься з Генеральним директором, встановлення розміру його винагороди. Укладення договору (контракту) з Генеральним директором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прийняття рішення про відсторонення Генерального директора від здійснення повноважень та обрання особи, яка тимчасово здійснюватиме повноваження Генерального директора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обрання та припинення повноважень голови і членів інших органів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обрання реєстраційної комісії, голови та секретаря загальних Зборів, за винятком випадків, встановлених  Статутом та законодавством;</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lastRenderedPageBreak/>
              <w:t>-</w:t>
            </w:r>
            <w:r>
              <w:rPr>
                <w:rFonts w:ascii="Times New Roman" w:eastAsia="Times New Roman" w:hAnsi="Times New Roman" w:cs="Times New Roman"/>
                <w:bCs/>
                <w:sz w:val="20"/>
                <w:szCs w:val="20"/>
                <w:lang w:eastAsia="uk-UA"/>
              </w:rPr>
              <w:tab/>
              <w:t>обрання аудитора (аудиторської фірми) Товариства для проведення аудиторської перевірки за результатами поточного та/або минулого (минулих) року (років) та визначення умов договору, що укладатиметься з таким аудитором (аудиторською фірмою), встановлення розміру оплати його (її) послуг; затвердження рекомендацій загальним зборам за результатами розгляду висновку зовнішнього незалежного аудитора (аудиторської фірми) Товариства для прийняття рішення щодо нього; .</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визначення дати складення переліку осіб, які мають право на отримання дивідендів, порядку та строків виплати дивідендів у межах граничного строку, визначеного законом;</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визначення дати складення переліку акціонерів, які мають бути повідомлені про проведення Загальних зборів акціонерів відповідно до закону та мають право на участь у Загальних зборах акціонерів відповідно до закону;</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 xml:space="preserve">вирішення питань про участь Товариства у промислово-фінансових групах та інших об'єднаннях; </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 xml:space="preserve">вирішення питань про створення та/або участь в будь-яких юридичних особах, їх реорганізацію та ліквідацію; </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вирішення питань про створення, реорганізацію та/або ліквідацію структурних та/або відокремлених підрозділів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вирішення питань, віднесених до компетенції Наглядової ради законом, у разі злиття, приєднання, поділу, виділу або перетворення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прийняття рішення про надання згоди на вчинення значних правочинів, якщо ринкова вартість майна або послуг, що є їх предметом, становить від 10 відсотків до 25 відсотків вартості активів за даними останньої річної фінансової звітності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прийняття рішення про надання згоди на вчинення правочинів щодо: отримання кредиту; отримання та надання позики; надання майна Товариства в заставу; розпорядження основними засобами Товариства; поруки за зобов'язаннями третіх осіб, на суму від 4 000 000 євро (у еквіваленті національної валюти України - гривні, за курсом НБУ на дату вчинення правочину) до 10 відсотків вартості активів за даними останньої річної фінансової звітності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визначення ймовірності визнання Товариства неплатоспроможним внаслідок прийняття ним на себе зобов'язань або їх виконання, у тому числі внаслідок виплати дивідендів або викупу акцій;</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прийняття рішення про обрання оцінювача майна Товариства та затвердження умов договору, що укладатиметься з ним, встановлення розміру оплати його послуг;</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прийняття рішення про обрання (заміну) депозитарної установи, яка надає Товариству додаткові послуги, затвердження умов договору, що укладатиметься з нею, встановлення розміру оплати її послуг;</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надсилання в порядку, передбаченому законом, пропозицій акціонерам про придбання особою (особами, що діють спільно) значного пакета акцій Товариства відповідно до вимог закону;</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обрання та відкликання Голови Наглядової ради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ухвалення стратегії Товариства, затвердження річного бюджету, бізнес-планів та здійснення контролю за їх реалізацією;</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винесення рішення про притягнення до майнової відповідальності посадових осіб органів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прийняття рішення про звернення до господарського суду з заявою про порушення справи про банкрутство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визначення умови оплати праці Генерального директора;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 xml:space="preserve">аналіз діяльності Генерального директора щодо управління Товариством, реалізації інвестиційної, технічної та цінової політики, додержання номенклатури та асортименту товарів і послуг; </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прийняття, в межах своїх повноважень, рішення про схвалення будь-яких дій Генерального директора Товариства, вчинених останнім з перевищенням повноважень, наданих цим Статутом;</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розгляд та погодження установчих документів суб'єктів господарювання, в яких бере участь Товариство, для подальшого їх затвердження відповідним органом цих суб'єктів;</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встановлення порядку прийому, реєстрації та розгляду звернень та скарг акціонерів;</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визначення загальних засад інформаційної політики Товариства. Здійснення контролю за розкриттям інформації та реалізацією інформаційної політики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забезпечення функціонування належної системи внутрішнього та зовнішнього контролю за фінансово-господарською діяльністю Товариства. Здійснення контролю за ефективністю зовнішнього аудиту, об'єктивністю та незалежністю аудитора;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контроль за дотриманням Генеральним директором порядку ознайомлення акціонерів, органів та посадових осіб Товариства з документами та інформацією про діяльність підприємства в межах, встановлених законом,  Статутом та внутрішніми положеннями Товариства;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lastRenderedPageBreak/>
              <w:t>-</w:t>
            </w:r>
            <w:r>
              <w:rPr>
                <w:rFonts w:ascii="Times New Roman" w:eastAsia="Times New Roman" w:hAnsi="Times New Roman" w:cs="Times New Roman"/>
                <w:bCs/>
                <w:sz w:val="20"/>
                <w:szCs w:val="20"/>
                <w:lang w:eastAsia="uk-UA"/>
              </w:rPr>
              <w:tab/>
              <w:t>надання Генеральному директору рекомендацій з питань розробки, укладення або внесення змін до колективного договору Товариства, в тому числі рекомендацій щодо змісту колективного договору;</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прийняття рішення про укладання правочинів, щодо яких є заінтересованість у випадках, передбачених у Статуті;</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прийняття рішення про створення та/або ліквідацію філій та представництв Товариства, затвердження положень та внесення змін до них, зміну назв філій та представництв.</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eastAsia="uk-UA"/>
              </w:rPr>
              <w:tab/>
              <w:t>вирішення інших питань, що належать до виключної компетенції Наглядової ради згідно із цим Статутом, в тому числі прийняття рішення про переведення випуску акцій документарної форми існування у бездокументарну форму існування.</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 xml:space="preserve">   </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 xml:space="preserve">   У звітному періоді Голова Наглядової ради винагороди за посаду в Товариства не отримував. Згідно договору, укладеного між Товариством та Головою Наглядової ради, останній працює на безоплатній основі і винагороди, в тому числі і в натуральній формі, не отримує. Також займає посаду Віце-президента регіону Центральної та Східної Європи </w:t>
            </w:r>
            <w:r>
              <w:rPr>
                <w:rFonts w:ascii="Times New Roman" w:eastAsia="Times New Roman" w:hAnsi="Times New Roman" w:cs="Times New Roman"/>
                <w:bCs/>
                <w:sz w:val="20"/>
                <w:szCs w:val="20"/>
                <w:lang w:val="en-US" w:eastAsia="uk-UA"/>
              </w:rPr>
              <w:t>Carlsberg</w:t>
            </w:r>
            <w:r>
              <w:rPr>
                <w:rFonts w:ascii="Times New Roman" w:eastAsia="Times New Roman" w:hAnsi="Times New Roman" w:cs="Times New Roman"/>
                <w:bCs/>
                <w:sz w:val="20"/>
                <w:szCs w:val="20"/>
                <w:lang w:eastAsia="uk-UA"/>
              </w:rPr>
              <w:t xml:space="preserve"> </w:t>
            </w:r>
            <w:r>
              <w:rPr>
                <w:rFonts w:ascii="Times New Roman" w:eastAsia="Times New Roman" w:hAnsi="Times New Roman" w:cs="Times New Roman"/>
                <w:bCs/>
                <w:sz w:val="20"/>
                <w:szCs w:val="20"/>
                <w:lang w:val="en-US" w:eastAsia="uk-UA"/>
              </w:rPr>
              <w:t>Group</w:t>
            </w:r>
            <w:r>
              <w:rPr>
                <w:rFonts w:ascii="Times New Roman" w:eastAsia="Times New Roman" w:hAnsi="Times New Roman" w:cs="Times New Roman"/>
                <w:bCs/>
                <w:sz w:val="20"/>
                <w:szCs w:val="20"/>
                <w:lang w:eastAsia="uk-UA"/>
              </w:rPr>
              <w:t>.</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Голова Наглядової ради непогашеної судимості за корисливі та посадові злочини не має, до адм</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н</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стративної 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дпов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дальност</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не притягався. Загальний стаж роботи становить 27 років. Протягом останніх п'яти років обіймав посади: Генеральний директор </w:t>
            </w:r>
            <w:r>
              <w:rPr>
                <w:rFonts w:ascii="Times New Roman" w:eastAsia="Times New Roman" w:hAnsi="Times New Roman" w:cs="Times New Roman"/>
                <w:bCs/>
                <w:sz w:val="20"/>
                <w:szCs w:val="20"/>
                <w:lang w:val="en-US" w:eastAsia="uk-UA"/>
              </w:rPr>
              <w:t>Carlsberg</w:t>
            </w:r>
            <w:r>
              <w:rPr>
                <w:rFonts w:ascii="Times New Roman" w:eastAsia="Times New Roman" w:hAnsi="Times New Roman" w:cs="Times New Roman"/>
                <w:bCs/>
                <w:sz w:val="20"/>
                <w:szCs w:val="20"/>
                <w:lang w:eastAsia="uk-UA"/>
              </w:rPr>
              <w:t xml:space="preserve"> </w:t>
            </w:r>
            <w:r>
              <w:rPr>
                <w:rFonts w:ascii="Times New Roman" w:eastAsia="Times New Roman" w:hAnsi="Times New Roman" w:cs="Times New Roman"/>
                <w:bCs/>
                <w:sz w:val="20"/>
                <w:szCs w:val="20"/>
                <w:lang w:val="en-US" w:eastAsia="uk-UA"/>
              </w:rPr>
              <w:t>Malaysia</w:t>
            </w:r>
            <w:r>
              <w:rPr>
                <w:rFonts w:ascii="Times New Roman" w:eastAsia="Times New Roman" w:hAnsi="Times New Roman" w:cs="Times New Roman"/>
                <w:bCs/>
                <w:sz w:val="20"/>
                <w:szCs w:val="20"/>
                <w:lang w:eastAsia="uk-UA"/>
              </w:rPr>
              <w:t xml:space="preserve">, Президент компанії "Балтика", Виконавчий віце-президент у регіоні Східна Європа, Голова Наглядової ради ПрАТ "Карлсберг Україна". </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Голова Наглядової ради є представником акц</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онера Балтик Бевериджиз </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нвест Акцеболаг, Швец</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я (код: 556594-3585) і не є незалежним директором. Посаду обіймає згідно рішення загальних Зборів акціонерів від 24.04.2019 року. Змін у складі Наглядової ради протягом звітного періоду не було.</w:t>
            </w:r>
          </w:p>
        </w:tc>
      </w:tr>
      <w:tr>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lastRenderedPageBreak/>
              <w:t>4</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 xml:space="preserve">Член Наглядової ради - представник акціонера Балтик Бевериджиз </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нвест Акцеболаг                     </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 xml:space="preserve">Рогачевський Антон Львович                                                                                                                                                                                                                                    </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1971</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 xml:space="preserve">вища                                                                                                                                                                                                                                                          </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32</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Компанії "Балтика"  (Російська Федерація)</w:t>
            </w:r>
          </w:p>
          <w:p>
            <w:pPr>
              <w:spacing w:after="0" w:line="240" w:lineRule="auto"/>
              <w:jc w:val="center"/>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01824944</w:t>
            </w:r>
          </w:p>
          <w:p>
            <w:pPr>
              <w:spacing w:after="0" w:line="240" w:lineRule="auto"/>
              <w:jc w:val="center"/>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Віце-Президент з правових питань</w:t>
            </w:r>
          </w:p>
        </w:tc>
      </w:tr>
      <w:tr>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Опис</w:t>
            </w:r>
          </w:p>
        </w:tc>
        <w:tc>
          <w:tcPr>
            <w:tcW w:w="1497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val="en-US" w:eastAsia="uk-UA"/>
              </w:rPr>
              <w:t xml:space="preserve">Член Наглядової ради представляє iнтереси акцiонерiв у перервах мiж проведенням Зборiв i у складi Наглядової ради здійснює управління Товариством, контролює i регулює дiяльнiсть виконавчого органу. </w:t>
            </w:r>
            <w:r>
              <w:rPr>
                <w:rFonts w:ascii="Times New Roman" w:eastAsia="Times New Roman" w:hAnsi="Times New Roman" w:cs="Times New Roman"/>
                <w:bCs/>
                <w:sz w:val="20"/>
                <w:szCs w:val="20"/>
                <w:lang w:eastAsia="uk-UA"/>
              </w:rPr>
              <w:t>Основним обов'язком є участь у зас</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даннях Наглядової ради, попередн</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й розгляд зв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т</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в </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питань, що виносяться на затвердження Зборам, та </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нш</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функц</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ї, як</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закр</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плен</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в Статут</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та "Положенні про Наглядову раду" Товариства. </w:t>
            </w:r>
          </w:p>
          <w:p>
            <w:pPr>
              <w:spacing w:after="0" w:line="240" w:lineRule="auto"/>
              <w:rPr>
                <w:rFonts w:ascii="Times New Roman" w:eastAsia="Times New Roman" w:hAnsi="Times New Roman" w:cs="Times New Roman"/>
                <w:bCs/>
                <w:sz w:val="20"/>
                <w:szCs w:val="20"/>
                <w:lang w:eastAsia="uk-UA"/>
              </w:rPr>
            </w:pP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 xml:space="preserve">   У зв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тному періоді член Наглядової ради винагороди за посаду в Товариств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не отримував. Згідно договору, укладеного між Товариством та членом Наглядової ради, останній працює на безоплатній основі і винагороди, у тому числі і в натуральній формі, не отримує. Також займає посаду 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це-президента ТОВ Балтика, яке знаходиться за адресою: РФ, м. Санкт-Петербург, 6-й Верхній провулок,буд.3. </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Член Наглядової ради непогашеної судимост</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за корислив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та посадов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злочини не має, до адм</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н</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стративної 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дпов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дальност</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не притягався. Загальний стаж роботи становить 32 роки. Протягом останніх п'яти років обіймав посади: 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це-Президент з правових питань ТОВ Балтика РФ, член Наглядової ради ПрАТ "Карлсберг Україна".</w:t>
            </w:r>
          </w:p>
          <w:p>
            <w:pPr>
              <w:spacing w:after="0" w:line="240" w:lineRule="auto"/>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eastAsia="uk-UA"/>
              </w:rPr>
              <w:t>Член Наглядової ради є представником акц</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онера Балтик Бевериджиз </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нвест Акцеболаг, Швец</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я (код: 556594-3585) і не є незалежним директором. Згідно рішення загальних Зборів акціонерів від 24.04.2019р. повноваження члена Наглядової ради були подовжені терміном на 3 роки. </w:t>
            </w:r>
            <w:r>
              <w:rPr>
                <w:rFonts w:ascii="Times New Roman" w:eastAsia="Times New Roman" w:hAnsi="Times New Roman" w:cs="Times New Roman"/>
                <w:bCs/>
                <w:sz w:val="20"/>
                <w:szCs w:val="20"/>
                <w:lang w:val="en-US" w:eastAsia="uk-UA"/>
              </w:rPr>
              <w:t>У звітному періоді змін не було.</w:t>
            </w:r>
          </w:p>
        </w:tc>
      </w:tr>
      <w:tr>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5</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 xml:space="preserve">Член Наглядової ради - представник акціонера Балтик Бевериджиз </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нвест Акцеболаг                     </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 xml:space="preserve">Сабро Джеспер Бернхард                                                                                                                                                                                                                                        </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1977</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 xml:space="preserve">вища                                                                                                                                                                                                                                                          </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18</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Carlsberg Breweries A/S</w:t>
            </w:r>
          </w:p>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д/н</w:t>
            </w:r>
          </w:p>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Вiце-президент з фінансів</w:t>
            </w:r>
          </w:p>
        </w:tc>
      </w:tr>
      <w:tr>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Опис</w:t>
            </w:r>
          </w:p>
        </w:tc>
        <w:tc>
          <w:tcPr>
            <w:tcW w:w="1497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val="en-US" w:eastAsia="uk-UA"/>
              </w:rPr>
              <w:t xml:space="preserve">Член Наглядової ради представляє iнтереси акцiонерiв у перервах мiж проведенням Зборiв i у складi Наглядової ради здійснює управління Товариством, контролює i регулює дiяльнiсть виконавчого органу. </w:t>
            </w:r>
            <w:r>
              <w:rPr>
                <w:rFonts w:ascii="Times New Roman" w:eastAsia="Times New Roman" w:hAnsi="Times New Roman" w:cs="Times New Roman"/>
                <w:bCs/>
                <w:sz w:val="20"/>
                <w:szCs w:val="20"/>
                <w:lang w:eastAsia="uk-UA"/>
              </w:rPr>
              <w:t>Основним обов'язком є участь у зас</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даннях Наглядової ради, попередн</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й розгляд зв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т</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в </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питань, що виносяться на затвердження Зборам, та </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нш</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функц</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ї, як</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закр</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плен</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в Статут</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та "Положенні про Наглядову раду" Товариства. </w:t>
            </w:r>
          </w:p>
          <w:p>
            <w:pPr>
              <w:spacing w:after="0" w:line="240" w:lineRule="auto"/>
              <w:rPr>
                <w:rFonts w:ascii="Times New Roman" w:eastAsia="Times New Roman" w:hAnsi="Times New Roman" w:cs="Times New Roman"/>
                <w:bCs/>
                <w:sz w:val="20"/>
                <w:szCs w:val="20"/>
                <w:lang w:eastAsia="uk-UA"/>
              </w:rPr>
            </w:pP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 xml:space="preserve">   У зв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тному періоді член Наглядової ради винагороди за посаду в Товариств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не отримував. Згідно договору, укладеного між Товариством та членом Наглядової ради, останній працює на безоплатній основі і винагороди, в тому числі і в натуральній формі, не отримує. Також займає посаду 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це-президента з фінансів </w:t>
            </w:r>
            <w:r>
              <w:rPr>
                <w:rFonts w:ascii="Times New Roman" w:eastAsia="Times New Roman" w:hAnsi="Times New Roman" w:cs="Times New Roman"/>
                <w:bCs/>
                <w:sz w:val="20"/>
                <w:szCs w:val="20"/>
                <w:lang w:val="en-US" w:eastAsia="uk-UA"/>
              </w:rPr>
              <w:t>Carlsberg</w:t>
            </w:r>
            <w:r>
              <w:rPr>
                <w:rFonts w:ascii="Times New Roman" w:eastAsia="Times New Roman" w:hAnsi="Times New Roman" w:cs="Times New Roman"/>
                <w:bCs/>
                <w:sz w:val="20"/>
                <w:szCs w:val="20"/>
                <w:lang w:eastAsia="uk-UA"/>
              </w:rPr>
              <w:t xml:space="preserve"> </w:t>
            </w:r>
            <w:r>
              <w:rPr>
                <w:rFonts w:ascii="Times New Roman" w:eastAsia="Times New Roman" w:hAnsi="Times New Roman" w:cs="Times New Roman"/>
                <w:bCs/>
                <w:sz w:val="20"/>
                <w:szCs w:val="20"/>
                <w:lang w:val="en-US" w:eastAsia="uk-UA"/>
              </w:rPr>
              <w:t>Breweries</w:t>
            </w:r>
            <w:r>
              <w:rPr>
                <w:rFonts w:ascii="Times New Roman" w:eastAsia="Times New Roman" w:hAnsi="Times New Roman" w:cs="Times New Roman"/>
                <w:bCs/>
                <w:sz w:val="20"/>
                <w:szCs w:val="20"/>
                <w:lang w:eastAsia="uk-UA"/>
              </w:rPr>
              <w:t xml:space="preserve"> </w:t>
            </w:r>
            <w:r>
              <w:rPr>
                <w:rFonts w:ascii="Times New Roman" w:eastAsia="Times New Roman" w:hAnsi="Times New Roman" w:cs="Times New Roman"/>
                <w:bCs/>
                <w:sz w:val="20"/>
                <w:szCs w:val="20"/>
                <w:lang w:val="en-US" w:eastAsia="uk-UA"/>
              </w:rPr>
              <w:t>A</w:t>
            </w: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val="en-US" w:eastAsia="uk-UA"/>
              </w:rPr>
              <w:t>S</w:t>
            </w:r>
            <w:r>
              <w:rPr>
                <w:rFonts w:ascii="Times New Roman" w:eastAsia="Times New Roman" w:hAnsi="Times New Roman" w:cs="Times New Roman"/>
                <w:bCs/>
                <w:sz w:val="20"/>
                <w:szCs w:val="20"/>
                <w:lang w:eastAsia="uk-UA"/>
              </w:rPr>
              <w:t xml:space="preserve">. </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Член Наглядової ради непогашеної судимост</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за корислив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та посадов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злочини не має, до адм</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н</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стративної 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дпов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дальност</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 не притягався. Загальний стаж роботи становить 18 років. Протягом останніх п'яти років обіймав посади: Віце-президент з бізнесу та фінансів компанії </w:t>
            </w:r>
            <w:r>
              <w:rPr>
                <w:rFonts w:ascii="Times New Roman" w:eastAsia="Times New Roman" w:hAnsi="Times New Roman" w:cs="Times New Roman"/>
                <w:bCs/>
                <w:sz w:val="20"/>
                <w:szCs w:val="20"/>
                <w:lang w:val="en-US" w:eastAsia="uk-UA"/>
              </w:rPr>
              <w:t>Pandora</w:t>
            </w:r>
            <w:r>
              <w:rPr>
                <w:rFonts w:ascii="Times New Roman" w:eastAsia="Times New Roman" w:hAnsi="Times New Roman" w:cs="Times New Roman"/>
                <w:bCs/>
                <w:sz w:val="20"/>
                <w:szCs w:val="20"/>
                <w:lang w:eastAsia="uk-UA"/>
              </w:rPr>
              <w:t xml:space="preserve"> </w:t>
            </w:r>
            <w:r>
              <w:rPr>
                <w:rFonts w:ascii="Times New Roman" w:eastAsia="Times New Roman" w:hAnsi="Times New Roman" w:cs="Times New Roman"/>
                <w:bCs/>
                <w:sz w:val="20"/>
                <w:szCs w:val="20"/>
                <w:lang w:val="en-US" w:eastAsia="uk-UA"/>
              </w:rPr>
              <w:t>A</w:t>
            </w: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val="en-US" w:eastAsia="uk-UA"/>
              </w:rPr>
              <w:t>S</w:t>
            </w:r>
            <w:r>
              <w:rPr>
                <w:rFonts w:ascii="Times New Roman" w:eastAsia="Times New Roman" w:hAnsi="Times New Roman" w:cs="Times New Roman"/>
                <w:bCs/>
                <w:sz w:val="20"/>
                <w:szCs w:val="20"/>
                <w:lang w:eastAsia="uk-UA"/>
              </w:rPr>
              <w:t>, В</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це-президента з фінансів </w:t>
            </w:r>
            <w:r>
              <w:rPr>
                <w:rFonts w:ascii="Times New Roman" w:eastAsia="Times New Roman" w:hAnsi="Times New Roman" w:cs="Times New Roman"/>
                <w:bCs/>
                <w:sz w:val="20"/>
                <w:szCs w:val="20"/>
                <w:lang w:val="en-US" w:eastAsia="uk-UA"/>
              </w:rPr>
              <w:t>Carlsberg</w:t>
            </w:r>
            <w:r>
              <w:rPr>
                <w:rFonts w:ascii="Times New Roman" w:eastAsia="Times New Roman" w:hAnsi="Times New Roman" w:cs="Times New Roman"/>
                <w:bCs/>
                <w:sz w:val="20"/>
                <w:szCs w:val="20"/>
                <w:lang w:eastAsia="uk-UA"/>
              </w:rPr>
              <w:t xml:space="preserve"> </w:t>
            </w:r>
            <w:r>
              <w:rPr>
                <w:rFonts w:ascii="Times New Roman" w:eastAsia="Times New Roman" w:hAnsi="Times New Roman" w:cs="Times New Roman"/>
                <w:bCs/>
                <w:sz w:val="20"/>
                <w:szCs w:val="20"/>
                <w:lang w:val="en-US" w:eastAsia="uk-UA"/>
              </w:rPr>
              <w:t>Breweries</w:t>
            </w:r>
            <w:r>
              <w:rPr>
                <w:rFonts w:ascii="Times New Roman" w:eastAsia="Times New Roman" w:hAnsi="Times New Roman" w:cs="Times New Roman"/>
                <w:bCs/>
                <w:sz w:val="20"/>
                <w:szCs w:val="20"/>
                <w:lang w:eastAsia="uk-UA"/>
              </w:rPr>
              <w:t xml:space="preserve"> </w:t>
            </w:r>
            <w:r>
              <w:rPr>
                <w:rFonts w:ascii="Times New Roman" w:eastAsia="Times New Roman" w:hAnsi="Times New Roman" w:cs="Times New Roman"/>
                <w:bCs/>
                <w:sz w:val="20"/>
                <w:szCs w:val="20"/>
                <w:lang w:val="en-US" w:eastAsia="uk-UA"/>
              </w:rPr>
              <w:t>A</w:t>
            </w:r>
            <w:r>
              <w:rPr>
                <w:rFonts w:ascii="Times New Roman" w:eastAsia="Times New Roman" w:hAnsi="Times New Roman" w:cs="Times New Roman"/>
                <w:bCs/>
                <w:sz w:val="20"/>
                <w:szCs w:val="20"/>
                <w:lang w:eastAsia="uk-UA"/>
              </w:rPr>
              <w:t>/</w:t>
            </w:r>
            <w:r>
              <w:rPr>
                <w:rFonts w:ascii="Times New Roman" w:eastAsia="Times New Roman" w:hAnsi="Times New Roman" w:cs="Times New Roman"/>
                <w:bCs/>
                <w:sz w:val="20"/>
                <w:szCs w:val="20"/>
                <w:lang w:val="en-US" w:eastAsia="uk-UA"/>
              </w:rPr>
              <w:t>S</w:t>
            </w:r>
            <w:r>
              <w:rPr>
                <w:rFonts w:ascii="Times New Roman" w:eastAsia="Times New Roman" w:hAnsi="Times New Roman" w:cs="Times New Roman"/>
                <w:bCs/>
                <w:sz w:val="20"/>
                <w:szCs w:val="20"/>
                <w:lang w:eastAsia="uk-UA"/>
              </w:rPr>
              <w:t>, член Наглядової ради ПрАТ "Карлсберг Україна".</w:t>
            </w:r>
          </w:p>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eastAsia="uk-UA"/>
              </w:rPr>
              <w:t>Член Наглядової ради є представником акц</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 xml:space="preserve">онера Балтик Бевериджиз </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нвест Акцеболаг, Швец</w:t>
            </w:r>
            <w:r>
              <w:rPr>
                <w:rFonts w:ascii="Times New Roman" w:eastAsia="Times New Roman" w:hAnsi="Times New Roman" w:cs="Times New Roman"/>
                <w:bCs/>
                <w:sz w:val="20"/>
                <w:szCs w:val="20"/>
                <w:lang w:val="en-US" w:eastAsia="uk-UA"/>
              </w:rPr>
              <w:t>i</w:t>
            </w:r>
            <w:r>
              <w:rPr>
                <w:rFonts w:ascii="Times New Roman" w:eastAsia="Times New Roman" w:hAnsi="Times New Roman" w:cs="Times New Roman"/>
                <w:bCs/>
                <w:sz w:val="20"/>
                <w:szCs w:val="20"/>
                <w:lang w:eastAsia="uk-UA"/>
              </w:rPr>
              <w:t>я (код: 556594-3585) і не є незалежним директором. Посаду обіймає згідно рішення загальних Зборів акціонерів від 24.04.2019 року, у звітному періоді змін не було.</w:t>
            </w:r>
          </w:p>
        </w:tc>
      </w:tr>
    </w:tbl>
    <w:p>
      <w:pPr>
        <w:spacing w:after="0" w:line="240" w:lineRule="auto"/>
        <w:ind w:left="-142" w:right="-11"/>
        <w:rPr>
          <w:rFonts w:ascii="Times New Roman" w:eastAsia="Times New Roman" w:hAnsi="Times New Roman" w:cs="Times New Roman"/>
          <w:sz w:val="24"/>
          <w:szCs w:val="24"/>
          <w:lang w:eastAsia="uk-UA"/>
        </w:rPr>
      </w:pPr>
    </w:p>
    <w:p>
      <w:pPr>
        <w:sectPr>
          <w:pgSz w:w="16838" w:h="11906" w:orient="landscape"/>
          <w:pgMar w:top="1417" w:right="363" w:bottom="850" w:left="363" w:header="709" w:footer="709" w:gutter="0"/>
          <w:cols w:space="708"/>
          <w:docGrid w:linePitch="360"/>
        </w:sectPr>
      </w:pPr>
    </w:p>
    <w:p>
      <w:pPr>
        <w:spacing w:after="300" w:line="240" w:lineRule="auto"/>
        <w:ind w:left="180" w:hanging="180"/>
        <w:jc w:val="center"/>
        <w:outlineLvl w:val="2"/>
        <w:rPr>
          <w:rFonts w:ascii="Times New Roman" w:eastAsia="Times New Roman" w:hAnsi="Times New Roman" w:cs="Times New Roman"/>
          <w:b/>
          <w:bCs/>
          <w:color w:val="000000"/>
          <w:sz w:val="28"/>
          <w:szCs w:val="28"/>
          <w:lang w:val="uk-UA" w:eastAsia="uk-UA"/>
        </w:rPr>
      </w:pPr>
      <w:r>
        <w:rPr>
          <w:rFonts w:ascii="Times New Roman" w:eastAsia="Times New Roman" w:hAnsi="Times New Roman" w:cs="Times New Roman"/>
          <w:b/>
          <w:bCs/>
          <w:color w:val="000000"/>
          <w:sz w:val="28"/>
          <w:szCs w:val="28"/>
          <w:lang w:val="en-US" w:eastAsia="uk-UA"/>
        </w:rPr>
        <w:lastRenderedPageBreak/>
        <w:t>VII</w:t>
      </w:r>
      <w:r>
        <w:rPr>
          <w:rFonts w:ascii="Times New Roman" w:eastAsia="Times New Roman" w:hAnsi="Times New Roman" w:cs="Times New Roman"/>
          <w:b/>
          <w:bCs/>
          <w:color w:val="000000"/>
          <w:sz w:val="28"/>
          <w:szCs w:val="28"/>
          <w:lang w:val="uk-UA" w:eastAsia="uk-UA"/>
        </w:rPr>
        <w:t>. Відомості про цінні папери емітента</w:t>
      </w:r>
    </w:p>
    <w:tbl>
      <w:tblPr>
        <w:tblW w:w="15855" w:type="dxa"/>
        <w:tblInd w:w="240" w:type="dxa"/>
        <w:tblCellMar>
          <w:top w:w="15" w:type="dxa"/>
          <w:left w:w="15" w:type="dxa"/>
          <w:bottom w:w="15" w:type="dxa"/>
          <w:right w:w="15" w:type="dxa"/>
        </w:tblCellMar>
        <w:tblLook w:val="0000" w:firstRow="0" w:lastRow="0" w:firstColumn="0" w:lastColumn="0" w:noHBand="0" w:noVBand="0"/>
      </w:tblPr>
      <w:tblGrid>
        <w:gridCol w:w="15855"/>
      </w:tblGrid>
      <w:tr>
        <w:trPr>
          <w:trHeight w:val="224"/>
        </w:trPr>
        <w:tc>
          <w:tcPr>
            <w:tcW w:w="15855" w:type="dxa"/>
            <w:tcMar>
              <w:top w:w="60" w:type="dxa"/>
              <w:left w:w="60" w:type="dxa"/>
              <w:bottom w:w="60" w:type="dxa"/>
              <w:right w:w="60" w:type="dxa"/>
            </w:tcMar>
            <w:vAlign w:val="center"/>
          </w:tcPr>
          <w:p>
            <w:pPr>
              <w:spacing w:after="0" w:line="240" w:lineRule="auto"/>
              <w:rPr>
                <w:rFonts w:ascii="Times New Roman" w:eastAsia="Times New Roman" w:hAnsi="Times New Roman" w:cs="Times New Roman"/>
                <w:b/>
                <w:bCs/>
                <w:sz w:val="24"/>
                <w:szCs w:val="24"/>
                <w:lang w:val="uk-UA" w:eastAsia="uk-UA"/>
              </w:rPr>
            </w:pPr>
            <w:r>
              <w:rPr>
                <w:rFonts w:ascii="Times New Roman" w:eastAsia="Times New Roman" w:hAnsi="Times New Roman" w:cs="Times New Roman"/>
                <w:b/>
                <w:bCs/>
                <w:sz w:val="24"/>
                <w:szCs w:val="24"/>
                <w:lang w:val="uk-UA" w:eastAsia="uk-UA"/>
              </w:rPr>
              <w:t>1. Інформація про випуски акцій</w:t>
            </w:r>
          </w:p>
        </w:tc>
      </w:tr>
    </w:tbl>
    <w:p>
      <w:pPr>
        <w:spacing w:after="0" w:line="240" w:lineRule="auto"/>
        <w:rPr>
          <w:rFonts w:ascii="Times New Roman" w:eastAsia="Times New Roman" w:hAnsi="Times New Roman" w:cs="Times New Roman"/>
          <w:vanish/>
          <w:color w:val="000000"/>
          <w:sz w:val="24"/>
          <w:szCs w:val="24"/>
          <w:lang w:val="uk-UA" w:eastAsia="uk-UA"/>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524"/>
        <w:gridCol w:w="1536"/>
        <w:gridCol w:w="1980"/>
        <w:gridCol w:w="1800"/>
        <w:gridCol w:w="1260"/>
        <w:gridCol w:w="2007"/>
        <w:gridCol w:w="1413"/>
        <w:gridCol w:w="1470"/>
        <w:gridCol w:w="1514"/>
        <w:gridCol w:w="1376"/>
      </w:tblGrid>
      <w:tr>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ind w:left="180" w:hanging="180"/>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Дата реєстрації випуску</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Номер свідоцтва про реєстрацію випуску</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Найменування органу, що зареєстрував випуск</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Міжнародний ідентифікаційний номер</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Тип цінного паперу</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Частка у статутному капіталі (у відсотках)</w:t>
            </w:r>
          </w:p>
        </w:tc>
      </w:tr>
      <w:tr>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1</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2</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3</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4</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5</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10</w:t>
            </w:r>
          </w:p>
        </w:tc>
      </w:tr>
      <w:tr>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01.03.2011</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116/1/11</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Національна комісія з цінних паперів та фондового ринку</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UA4000079917</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Акція проста бездокументарна іменна</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Бездокументарнi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1.00</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1022432914</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1022432914.00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100.000000000000</w:t>
            </w:r>
          </w:p>
        </w:tc>
      </w:tr>
      <w:tr>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Опис</w:t>
            </w:r>
          </w:p>
        </w:tc>
        <w:tc>
          <w:tcPr>
            <w:tcW w:w="14356"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spacing w:after="0" w:line="240" w:lineRule="auto"/>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У звiтному періоді даткових випускiв цiнних паперiв не було. </w:t>
            </w:r>
          </w:p>
          <w:p>
            <w:pPr>
              <w:spacing w:after="0" w:line="240" w:lineRule="auto"/>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Акцiї Товариства процедуру лiстингу не проходили і не торгуються ні на зовнішньому ні на внутрішньому біржових ринках. </w:t>
            </w:r>
          </w:p>
          <w:p>
            <w:pPr>
              <w:spacing w:after="0" w:line="240" w:lineRule="auto"/>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До біржового реєстру  фондової біржі акції емітента не включені. </w:t>
            </w:r>
          </w:p>
          <w:p>
            <w:pPr>
              <w:spacing w:after="0" w:line="240" w:lineRule="auto"/>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Облiгацiї чи будь-якi iншi цiннi папери пiдприємство не емiтувало. </w:t>
            </w:r>
          </w:p>
          <w:p>
            <w:pPr>
              <w:spacing w:after="0" w:line="240" w:lineRule="auto"/>
              <w:rPr>
                <w:rFonts w:ascii="Times New Roman" w:eastAsia="Times New Roman" w:hAnsi="Times New Roman" w:cs="Times New Roman"/>
                <w:b/>
                <w:bCs/>
                <w:sz w:val="20"/>
                <w:szCs w:val="20"/>
                <w:lang w:val="uk-UA" w:eastAsia="uk-UA"/>
              </w:rPr>
            </w:pPr>
            <w:r>
              <w:rPr>
                <w:rFonts w:ascii="Times New Roman" w:eastAsia="Times New Roman" w:hAnsi="Times New Roman" w:cs="Times New Roman"/>
                <w:bCs/>
                <w:sz w:val="20"/>
                <w:szCs w:val="20"/>
                <w:lang w:val="uk-UA" w:eastAsia="uk-UA"/>
              </w:rPr>
              <w:t>Акцiї власної емiсiї в звiтному періоді Товариством не викупались і не продавались, статутний капiтал сплачений на 100%.</w:t>
            </w:r>
          </w:p>
        </w:tc>
      </w:tr>
    </w:tbl>
    <w:p>
      <w:pPr>
        <w:spacing w:after="0" w:line="240" w:lineRule="auto"/>
        <w:rPr>
          <w:rFonts w:ascii="Times New Roman" w:eastAsia="Times New Roman" w:hAnsi="Times New Roman" w:cs="Times New Roman"/>
          <w:sz w:val="24"/>
          <w:szCs w:val="24"/>
          <w:lang w:val="uk-UA" w:eastAsia="uk-UA"/>
        </w:rPr>
      </w:pPr>
    </w:p>
    <w:p>
      <w:pPr>
        <w:sectPr>
          <w:pgSz w:w="16838" w:h="11906" w:orient="landscape"/>
          <w:pgMar w:top="1417" w:right="363" w:bottom="850" w:left="363"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tc>
          <w:tcPr>
            <w:tcW w:w="9720" w:type="dxa"/>
            <w:tcMar>
              <w:top w:w="60" w:type="dxa"/>
              <w:left w:w="60" w:type="dxa"/>
              <w:bottom w:w="60" w:type="dxa"/>
              <w:right w:w="60" w:type="dxa"/>
            </w:tcMar>
            <w:vAlign w:val="center"/>
          </w:tcPr>
          <w:p>
            <w:pPr>
              <w:spacing w:after="0" w:line="240" w:lineRule="auto"/>
              <w:ind w:left="-210"/>
              <w:jc w:val="center"/>
              <w:rPr>
                <w:rFonts w:ascii="Times New Roman" w:eastAsia="Times New Roman" w:hAnsi="Times New Roman" w:cs="Times New Roman"/>
                <w:b/>
                <w:bCs/>
                <w:sz w:val="24"/>
                <w:szCs w:val="24"/>
                <w:lang w:val="uk-UA" w:eastAsia="uk-UA"/>
              </w:rPr>
            </w:pPr>
            <w:r>
              <w:rPr>
                <w:rFonts w:ascii="Times New Roman" w:eastAsia="Times New Roman" w:hAnsi="Times New Roman" w:cs="Times New Roman"/>
                <w:b/>
                <w:bCs/>
                <w:sz w:val="24"/>
                <w:szCs w:val="24"/>
                <w:lang w:val="en-US" w:eastAsia="uk-UA"/>
              </w:rPr>
              <w:lastRenderedPageBreak/>
              <w:t>VIII</w:t>
            </w:r>
            <w:r>
              <w:rPr>
                <w:rFonts w:ascii="Times New Roman" w:eastAsia="Times New Roman" w:hAnsi="Times New Roman" w:cs="Times New Roman"/>
                <w:b/>
                <w:bCs/>
                <w:sz w:val="24"/>
                <w:szCs w:val="24"/>
                <w:lang w:val="uk-UA" w:eastAsia="uk-UA"/>
              </w:rPr>
              <w:t xml:space="preserve">. </w:t>
            </w:r>
            <w:r>
              <w:rPr>
                <w:rFonts w:ascii="Times New Roman" w:eastAsia="Times New Roman" w:hAnsi="Times New Roman" w:cs="Times New Roman"/>
                <w:b/>
                <w:bCs/>
                <w:color w:val="000000"/>
                <w:sz w:val="24"/>
                <w:szCs w:val="24"/>
                <w:lang w:val="uk-UA" w:eastAsia="uk-UA"/>
              </w:rPr>
              <w:t>Відомості щодо участі емітента у юридичних особах</w:t>
            </w:r>
          </w:p>
        </w:tc>
      </w:tr>
    </w:tbl>
    <w:p>
      <w:pPr>
        <w:spacing w:after="0" w:line="240" w:lineRule="auto"/>
        <w:rPr>
          <w:rFonts w:ascii="Times New Roman" w:eastAsia="Times New Roman" w:hAnsi="Times New Roman" w:cs="Times New Roman"/>
          <w:vanish/>
          <w:color w:val="000000"/>
          <w:sz w:val="24"/>
          <w:szCs w:val="24"/>
          <w:lang w:val="uk-UA" w:eastAsia="uk-UA"/>
        </w:rPr>
      </w:pPr>
    </w:p>
    <w:p>
      <w:pPr>
        <w:spacing w:after="0" w:line="240" w:lineRule="auto"/>
        <w:rPr>
          <w:rFonts w:ascii="Times New Roman" w:eastAsia="Times New Roman" w:hAnsi="Times New Roman" w:cs="Times New Roman"/>
          <w:vanish/>
          <w:color w:val="000000"/>
          <w:sz w:val="24"/>
          <w:szCs w:val="24"/>
          <w:lang w:val="uk-UA" w:eastAsia="uk-UA"/>
        </w:rPr>
      </w:pPr>
    </w:p>
    <w:p>
      <w:pPr>
        <w:spacing w:after="0" w:line="240" w:lineRule="auto"/>
        <w:rPr>
          <w:rFonts w:ascii="Times New Roman" w:eastAsia="Times New Roman" w:hAnsi="Times New Roman" w:cs="Times New Roman"/>
          <w:sz w:val="24"/>
          <w:szCs w:val="24"/>
          <w:lang w:val="uk-UA" w:eastAsia="uk-UA"/>
        </w:rPr>
      </w:pPr>
    </w:p>
    <w:p>
      <w:pPr>
        <w:spacing w:after="0" w:line="240" w:lineRule="auto"/>
        <w:rPr>
          <w:rFonts w:ascii="Times New Roman" w:eastAsia="Times New Roman" w:hAnsi="Times New Roman" w:cs="Times New Roman"/>
          <w:sz w:val="24"/>
          <w:szCs w:val="24"/>
          <w:lang w:val="uk-UA" w:eastAsia="uk-UA"/>
        </w:rPr>
      </w:pPr>
    </w:p>
    <w:tbl>
      <w:tblPr>
        <w:tblW w:w="0" w:type="auto"/>
        <w:tblLayout w:type="fixed"/>
        <w:tblLook w:val="0000" w:firstRow="0" w:lastRow="0" w:firstColumn="0" w:lastColumn="0" w:noHBand="0" w:noVBand="0"/>
      </w:tblPr>
      <w:tblGrid>
        <w:gridCol w:w="2834"/>
        <w:gridCol w:w="6803"/>
      </w:tblGrid>
      <w:tr>
        <w:tc>
          <w:tcPr>
            <w:tcW w:w="2834" w:type="dxa"/>
            <w:shd w:val="clear" w:color="auto" w:fill="auto"/>
          </w:tcPr>
          <w:p>
            <w:pPr>
              <w:spacing w:after="0" w:line="240" w:lineRule="auto"/>
              <w:rPr>
                <w:rFonts w:ascii="Times New Roman" w:eastAsia="Times New Roman" w:hAnsi="Times New Roman" w:cs="Times New Roman"/>
                <w:b/>
                <w:sz w:val="20"/>
                <w:szCs w:val="24"/>
                <w:lang w:val="uk-UA" w:eastAsia="uk-UA"/>
              </w:rPr>
            </w:pPr>
            <w:r>
              <w:rPr>
                <w:rFonts w:ascii="Times New Roman" w:eastAsia="Times New Roman" w:hAnsi="Times New Roman" w:cs="Times New Roman"/>
                <w:b/>
                <w:sz w:val="20"/>
                <w:szCs w:val="24"/>
                <w:lang w:val="uk-UA" w:eastAsia="uk-UA"/>
              </w:rPr>
              <w:t>1) найменування</w:t>
            </w:r>
          </w:p>
        </w:tc>
        <w:tc>
          <w:tcPr>
            <w:tcW w:w="6803" w:type="dxa"/>
            <w:shd w:val="clear" w:color="auto" w:fill="auto"/>
          </w:tcPr>
          <w:p>
            <w:pPr>
              <w:spacing w:after="0" w:line="240" w:lineRule="auto"/>
              <w:rPr>
                <w:rFonts w:ascii="Times New Roman" w:eastAsia="Times New Roman" w:hAnsi="Times New Roman" w:cs="Times New Roman"/>
                <w:sz w:val="20"/>
                <w:szCs w:val="24"/>
                <w:lang w:val="uk-UA" w:eastAsia="uk-UA"/>
              </w:rPr>
            </w:pPr>
            <w:r>
              <w:rPr>
                <w:rFonts w:ascii="Times New Roman" w:eastAsia="Times New Roman" w:hAnsi="Times New Roman" w:cs="Times New Roman"/>
                <w:sz w:val="20"/>
                <w:szCs w:val="24"/>
                <w:lang w:val="uk-UA" w:eastAsia="uk-UA"/>
              </w:rPr>
              <w:t>ICS "CARLSBERG" S.R.L.</w:t>
            </w:r>
          </w:p>
        </w:tc>
      </w:tr>
      <w:tr>
        <w:tc>
          <w:tcPr>
            <w:tcW w:w="2834" w:type="dxa"/>
            <w:shd w:val="clear" w:color="auto" w:fill="auto"/>
          </w:tcPr>
          <w:p>
            <w:pPr>
              <w:spacing w:after="0" w:line="240" w:lineRule="auto"/>
              <w:rPr>
                <w:rFonts w:ascii="Times New Roman" w:eastAsia="Times New Roman" w:hAnsi="Times New Roman" w:cs="Times New Roman"/>
                <w:b/>
                <w:sz w:val="20"/>
                <w:szCs w:val="24"/>
                <w:lang w:val="uk-UA" w:eastAsia="uk-UA"/>
              </w:rPr>
            </w:pPr>
            <w:r>
              <w:rPr>
                <w:rFonts w:ascii="Times New Roman" w:eastAsia="Times New Roman" w:hAnsi="Times New Roman" w:cs="Times New Roman"/>
                <w:b/>
                <w:sz w:val="20"/>
                <w:szCs w:val="24"/>
                <w:lang w:val="uk-UA" w:eastAsia="uk-UA"/>
              </w:rPr>
              <w:t>2) організаційно-правова форма</w:t>
            </w:r>
          </w:p>
        </w:tc>
        <w:tc>
          <w:tcPr>
            <w:tcW w:w="6803" w:type="dxa"/>
            <w:shd w:val="clear" w:color="auto" w:fill="auto"/>
          </w:tcPr>
          <w:p>
            <w:pPr>
              <w:spacing w:after="0" w:line="240" w:lineRule="auto"/>
              <w:rPr>
                <w:rFonts w:ascii="Times New Roman" w:eastAsia="Times New Roman" w:hAnsi="Times New Roman" w:cs="Times New Roman"/>
                <w:sz w:val="20"/>
                <w:szCs w:val="24"/>
                <w:lang w:val="uk-UA" w:eastAsia="uk-UA"/>
              </w:rPr>
            </w:pPr>
            <w:r>
              <w:rPr>
                <w:rFonts w:ascii="Times New Roman" w:eastAsia="Times New Roman" w:hAnsi="Times New Roman" w:cs="Times New Roman"/>
                <w:sz w:val="20"/>
                <w:szCs w:val="24"/>
                <w:lang w:val="uk-UA" w:eastAsia="uk-UA"/>
              </w:rPr>
              <w:t>Товариство з обмеженою вiдповiдальнiстю</w:t>
            </w:r>
          </w:p>
        </w:tc>
      </w:tr>
      <w:tr>
        <w:tc>
          <w:tcPr>
            <w:tcW w:w="2834" w:type="dxa"/>
            <w:shd w:val="clear" w:color="auto" w:fill="auto"/>
          </w:tcPr>
          <w:p>
            <w:pPr>
              <w:spacing w:after="0" w:line="240" w:lineRule="auto"/>
              <w:rPr>
                <w:rFonts w:ascii="Times New Roman" w:eastAsia="Times New Roman" w:hAnsi="Times New Roman" w:cs="Times New Roman"/>
                <w:b/>
                <w:sz w:val="20"/>
                <w:szCs w:val="24"/>
                <w:lang w:val="uk-UA" w:eastAsia="uk-UA"/>
              </w:rPr>
            </w:pPr>
            <w:r>
              <w:rPr>
                <w:rFonts w:ascii="Times New Roman" w:eastAsia="Times New Roman" w:hAnsi="Times New Roman" w:cs="Times New Roman"/>
                <w:b/>
                <w:sz w:val="20"/>
                <w:szCs w:val="24"/>
                <w:lang w:val="uk-UA" w:eastAsia="uk-UA"/>
              </w:rPr>
              <w:t>3) ідентифікаційний код юридичної особи</w:t>
            </w:r>
          </w:p>
        </w:tc>
        <w:tc>
          <w:tcPr>
            <w:tcW w:w="6803" w:type="dxa"/>
            <w:shd w:val="clear" w:color="auto" w:fill="auto"/>
          </w:tcPr>
          <w:p>
            <w:pPr>
              <w:spacing w:after="0" w:line="240" w:lineRule="auto"/>
              <w:rPr>
                <w:rFonts w:ascii="Times New Roman" w:eastAsia="Times New Roman" w:hAnsi="Times New Roman" w:cs="Times New Roman"/>
                <w:sz w:val="20"/>
                <w:szCs w:val="24"/>
                <w:lang w:val="uk-UA" w:eastAsia="uk-UA"/>
              </w:rPr>
            </w:pPr>
            <w:r>
              <w:rPr>
                <w:rFonts w:ascii="Times New Roman" w:eastAsia="Times New Roman" w:hAnsi="Times New Roman" w:cs="Times New Roman"/>
                <w:sz w:val="20"/>
                <w:szCs w:val="24"/>
                <w:lang w:val="uk-UA" w:eastAsia="uk-UA"/>
              </w:rPr>
              <w:t>д/н</w:t>
            </w:r>
          </w:p>
        </w:tc>
      </w:tr>
      <w:tr>
        <w:tc>
          <w:tcPr>
            <w:tcW w:w="2834" w:type="dxa"/>
            <w:shd w:val="clear" w:color="auto" w:fill="auto"/>
          </w:tcPr>
          <w:p>
            <w:pPr>
              <w:spacing w:after="0" w:line="240" w:lineRule="auto"/>
              <w:rPr>
                <w:rFonts w:ascii="Times New Roman" w:eastAsia="Times New Roman" w:hAnsi="Times New Roman" w:cs="Times New Roman"/>
                <w:b/>
                <w:sz w:val="20"/>
                <w:szCs w:val="24"/>
                <w:lang w:val="uk-UA" w:eastAsia="uk-UA"/>
              </w:rPr>
            </w:pPr>
            <w:r>
              <w:rPr>
                <w:rFonts w:ascii="Times New Roman" w:eastAsia="Times New Roman" w:hAnsi="Times New Roman" w:cs="Times New Roman"/>
                <w:b/>
                <w:sz w:val="20"/>
                <w:szCs w:val="24"/>
                <w:lang w:val="uk-UA" w:eastAsia="uk-UA"/>
              </w:rPr>
              <w:t>4) місцезнаходження</w:t>
            </w:r>
          </w:p>
        </w:tc>
        <w:tc>
          <w:tcPr>
            <w:tcW w:w="6803" w:type="dxa"/>
            <w:shd w:val="clear" w:color="auto" w:fill="auto"/>
          </w:tcPr>
          <w:p>
            <w:pPr>
              <w:spacing w:after="0" w:line="240" w:lineRule="auto"/>
              <w:rPr>
                <w:rFonts w:ascii="Times New Roman" w:eastAsia="Times New Roman" w:hAnsi="Times New Roman" w:cs="Times New Roman"/>
                <w:sz w:val="20"/>
                <w:szCs w:val="24"/>
                <w:lang w:val="uk-UA" w:eastAsia="uk-UA"/>
              </w:rPr>
            </w:pPr>
            <w:r>
              <w:rPr>
                <w:rFonts w:ascii="Times New Roman" w:eastAsia="Times New Roman" w:hAnsi="Times New Roman" w:cs="Times New Roman"/>
                <w:sz w:val="20"/>
                <w:szCs w:val="24"/>
                <w:lang w:val="uk-UA" w:eastAsia="uk-UA"/>
              </w:rPr>
              <w:t>Митрополит Бэнулеску - Бодони 57/1, офiс 418, MD - 2005, Кишинев, Республiка Молдова</w:t>
            </w:r>
          </w:p>
        </w:tc>
      </w:tr>
      <w:tr>
        <w:tc>
          <w:tcPr>
            <w:tcW w:w="2834" w:type="dxa"/>
            <w:shd w:val="clear" w:color="auto" w:fill="auto"/>
          </w:tcPr>
          <w:p>
            <w:pPr>
              <w:spacing w:after="0" w:line="240" w:lineRule="auto"/>
              <w:rPr>
                <w:rFonts w:ascii="Times New Roman" w:eastAsia="Times New Roman" w:hAnsi="Times New Roman" w:cs="Times New Roman"/>
                <w:b/>
                <w:sz w:val="20"/>
                <w:szCs w:val="24"/>
                <w:lang w:val="uk-UA" w:eastAsia="uk-UA"/>
              </w:rPr>
            </w:pPr>
            <w:r>
              <w:rPr>
                <w:rFonts w:ascii="Times New Roman" w:eastAsia="Times New Roman" w:hAnsi="Times New Roman" w:cs="Times New Roman"/>
                <w:b/>
                <w:sz w:val="20"/>
                <w:szCs w:val="24"/>
                <w:lang w:val="uk-UA" w:eastAsia="uk-UA"/>
              </w:rPr>
              <w:t>5) опис</w:t>
            </w:r>
          </w:p>
        </w:tc>
        <w:tc>
          <w:tcPr>
            <w:tcW w:w="6803" w:type="dxa"/>
            <w:shd w:val="clear" w:color="auto" w:fill="auto"/>
          </w:tcPr>
          <w:p>
            <w:pPr>
              <w:spacing w:after="0" w:line="240" w:lineRule="auto"/>
              <w:rPr>
                <w:rFonts w:ascii="Times New Roman" w:eastAsia="Times New Roman" w:hAnsi="Times New Roman" w:cs="Times New Roman"/>
                <w:sz w:val="20"/>
                <w:szCs w:val="24"/>
                <w:lang w:val="uk-UA" w:eastAsia="uk-UA"/>
              </w:rPr>
            </w:pPr>
            <w:r>
              <w:rPr>
                <w:rFonts w:ascii="Times New Roman" w:eastAsia="Times New Roman" w:hAnsi="Times New Roman" w:cs="Times New Roman"/>
                <w:sz w:val="20"/>
                <w:szCs w:val="24"/>
                <w:lang w:val="uk-UA" w:eastAsia="uk-UA"/>
              </w:rPr>
              <w:t>Товариство засноване та iснує згiдно законiв Республiки Молдова.</w:t>
            </w:r>
          </w:p>
          <w:p>
            <w:pPr>
              <w:spacing w:after="0" w:line="240" w:lineRule="auto"/>
              <w:rPr>
                <w:rFonts w:ascii="Times New Roman" w:eastAsia="Times New Roman" w:hAnsi="Times New Roman" w:cs="Times New Roman"/>
                <w:sz w:val="20"/>
                <w:szCs w:val="24"/>
                <w:lang w:val="uk-UA" w:eastAsia="uk-UA"/>
              </w:rPr>
            </w:pPr>
            <w:r>
              <w:rPr>
                <w:rFonts w:ascii="Times New Roman" w:eastAsia="Times New Roman" w:hAnsi="Times New Roman" w:cs="Times New Roman"/>
                <w:sz w:val="20"/>
                <w:szCs w:val="24"/>
                <w:lang w:val="uk-UA" w:eastAsia="uk-UA"/>
              </w:rPr>
              <w:t>Державний iдентифiкацiйний номер - фiскальний код: 1004601001362.</w:t>
            </w:r>
          </w:p>
          <w:p>
            <w:pPr>
              <w:spacing w:after="0" w:line="240" w:lineRule="auto"/>
              <w:rPr>
                <w:rFonts w:ascii="Times New Roman" w:eastAsia="Times New Roman" w:hAnsi="Times New Roman" w:cs="Times New Roman"/>
                <w:sz w:val="20"/>
                <w:szCs w:val="24"/>
                <w:lang w:val="uk-UA" w:eastAsia="uk-UA"/>
              </w:rPr>
            </w:pPr>
            <w:r>
              <w:rPr>
                <w:rFonts w:ascii="Times New Roman" w:eastAsia="Times New Roman" w:hAnsi="Times New Roman" w:cs="Times New Roman"/>
                <w:sz w:val="20"/>
                <w:szCs w:val="24"/>
                <w:lang w:val="uk-UA" w:eastAsia="uk-UA"/>
              </w:rPr>
              <w:t>Емiтент є єдиним засновником (учасником) створеної юридичної особи.</w:t>
            </w:r>
          </w:p>
          <w:p>
            <w:pPr>
              <w:spacing w:after="0" w:line="240" w:lineRule="auto"/>
              <w:rPr>
                <w:rFonts w:ascii="Times New Roman" w:eastAsia="Times New Roman" w:hAnsi="Times New Roman" w:cs="Times New Roman"/>
                <w:sz w:val="20"/>
                <w:szCs w:val="24"/>
                <w:lang w:val="uk-UA" w:eastAsia="uk-UA"/>
              </w:rPr>
            </w:pPr>
            <w:r>
              <w:rPr>
                <w:rFonts w:ascii="Times New Roman" w:eastAsia="Times New Roman" w:hAnsi="Times New Roman" w:cs="Times New Roman"/>
                <w:sz w:val="20"/>
                <w:szCs w:val="24"/>
                <w:lang w:val="uk-UA" w:eastAsia="uk-UA"/>
              </w:rPr>
              <w:t xml:space="preserve">Емiтент прямо володiє 100% Статуного капiталу зазначеного товариства. </w:t>
            </w:r>
          </w:p>
          <w:p>
            <w:pPr>
              <w:spacing w:after="0" w:line="240" w:lineRule="auto"/>
              <w:rPr>
                <w:rFonts w:ascii="Times New Roman" w:eastAsia="Times New Roman" w:hAnsi="Times New Roman" w:cs="Times New Roman"/>
                <w:sz w:val="20"/>
                <w:szCs w:val="24"/>
                <w:lang w:val="uk-UA" w:eastAsia="uk-UA"/>
              </w:rPr>
            </w:pPr>
            <w:r>
              <w:rPr>
                <w:rFonts w:ascii="Times New Roman" w:eastAsia="Times New Roman" w:hAnsi="Times New Roman" w:cs="Times New Roman"/>
                <w:sz w:val="20"/>
                <w:szCs w:val="24"/>
                <w:lang w:val="uk-UA" w:eastAsia="uk-UA"/>
              </w:rPr>
              <w:t xml:space="preserve">Активи, що наданi емiтентом у якостi внеску - грошовi кошти. </w:t>
            </w:r>
          </w:p>
          <w:p>
            <w:pPr>
              <w:spacing w:after="0" w:line="240" w:lineRule="auto"/>
              <w:rPr>
                <w:rFonts w:ascii="Times New Roman" w:eastAsia="Times New Roman" w:hAnsi="Times New Roman" w:cs="Times New Roman"/>
                <w:sz w:val="20"/>
                <w:szCs w:val="24"/>
                <w:lang w:val="uk-UA" w:eastAsia="uk-UA"/>
              </w:rPr>
            </w:pPr>
            <w:r>
              <w:rPr>
                <w:rFonts w:ascii="Times New Roman" w:eastAsia="Times New Roman" w:hAnsi="Times New Roman" w:cs="Times New Roman"/>
                <w:sz w:val="20"/>
                <w:szCs w:val="24"/>
                <w:lang w:val="uk-UA" w:eastAsia="uk-UA"/>
              </w:rPr>
              <w:t>Емiтенту належать всi права стосовно управлiння створеною юридичною особою, якi визначенi дiючим законодавством Республiки Молдова для даного типу товариств, в тому числi емiтент має право:</w:t>
            </w:r>
          </w:p>
          <w:p>
            <w:pPr>
              <w:spacing w:after="0" w:line="240" w:lineRule="auto"/>
              <w:rPr>
                <w:rFonts w:ascii="Times New Roman" w:eastAsia="Times New Roman" w:hAnsi="Times New Roman" w:cs="Times New Roman"/>
                <w:sz w:val="20"/>
                <w:szCs w:val="24"/>
                <w:lang w:val="uk-UA" w:eastAsia="uk-UA"/>
              </w:rPr>
            </w:pPr>
            <w:r>
              <w:rPr>
                <w:rFonts w:ascii="Times New Roman" w:eastAsia="Times New Roman" w:hAnsi="Times New Roman" w:cs="Times New Roman"/>
                <w:sz w:val="20"/>
                <w:szCs w:val="24"/>
                <w:lang w:val="uk-UA" w:eastAsia="uk-UA"/>
              </w:rPr>
              <w:t xml:space="preserve">- брати участь в управлiннi справами товариства в порядку, визначеному в його установчих  документах; </w:t>
            </w:r>
          </w:p>
          <w:p>
            <w:pPr>
              <w:spacing w:after="0" w:line="240" w:lineRule="auto"/>
              <w:rPr>
                <w:rFonts w:ascii="Times New Roman" w:eastAsia="Times New Roman" w:hAnsi="Times New Roman" w:cs="Times New Roman"/>
                <w:sz w:val="20"/>
                <w:szCs w:val="24"/>
                <w:lang w:val="uk-UA" w:eastAsia="uk-UA"/>
              </w:rPr>
            </w:pPr>
            <w:r>
              <w:rPr>
                <w:rFonts w:ascii="Times New Roman" w:eastAsia="Times New Roman" w:hAnsi="Times New Roman" w:cs="Times New Roman"/>
                <w:sz w:val="20"/>
                <w:szCs w:val="24"/>
                <w:lang w:val="uk-UA" w:eastAsia="uk-UA"/>
              </w:rPr>
              <w:t xml:space="preserve">- брати участь у розподiлi прибутку товариства та одержувати його  частку  (дивiденди).  </w:t>
            </w:r>
          </w:p>
          <w:p>
            <w:pPr>
              <w:spacing w:after="0" w:line="240" w:lineRule="auto"/>
              <w:rPr>
                <w:rFonts w:ascii="Times New Roman" w:eastAsia="Times New Roman" w:hAnsi="Times New Roman" w:cs="Times New Roman"/>
                <w:sz w:val="20"/>
                <w:szCs w:val="24"/>
                <w:lang w:val="uk-UA" w:eastAsia="uk-UA"/>
              </w:rPr>
            </w:pPr>
            <w:r>
              <w:rPr>
                <w:rFonts w:ascii="Times New Roman" w:eastAsia="Times New Roman" w:hAnsi="Times New Roman" w:cs="Times New Roman"/>
                <w:sz w:val="20"/>
                <w:szCs w:val="24"/>
                <w:lang w:val="uk-UA" w:eastAsia="uk-UA"/>
              </w:rPr>
              <w:t xml:space="preserve">- вийти в установленому порядку з товариства; </w:t>
            </w:r>
          </w:p>
          <w:p>
            <w:pPr>
              <w:spacing w:after="0" w:line="240" w:lineRule="auto"/>
              <w:rPr>
                <w:rFonts w:ascii="Times New Roman" w:eastAsia="Times New Roman" w:hAnsi="Times New Roman" w:cs="Times New Roman"/>
                <w:sz w:val="20"/>
                <w:szCs w:val="24"/>
                <w:lang w:val="uk-UA" w:eastAsia="uk-UA"/>
              </w:rPr>
            </w:pPr>
            <w:r>
              <w:rPr>
                <w:rFonts w:ascii="Times New Roman" w:eastAsia="Times New Roman" w:hAnsi="Times New Roman" w:cs="Times New Roman"/>
                <w:sz w:val="20"/>
                <w:szCs w:val="24"/>
                <w:lang w:val="uk-UA" w:eastAsia="uk-UA"/>
              </w:rPr>
              <w:t>- одержувати iнформацiю про дiяльнiсть товариства;</w:t>
            </w:r>
          </w:p>
          <w:p>
            <w:pPr>
              <w:spacing w:after="0" w:line="240" w:lineRule="auto"/>
              <w:rPr>
                <w:rFonts w:ascii="Times New Roman" w:eastAsia="Times New Roman" w:hAnsi="Times New Roman" w:cs="Times New Roman"/>
                <w:sz w:val="20"/>
                <w:szCs w:val="24"/>
                <w:lang w:val="uk-UA" w:eastAsia="uk-UA"/>
              </w:rPr>
            </w:pPr>
            <w:r>
              <w:rPr>
                <w:rFonts w:ascii="Times New Roman" w:eastAsia="Times New Roman" w:hAnsi="Times New Roman" w:cs="Times New Roman"/>
                <w:sz w:val="20"/>
                <w:szCs w:val="24"/>
                <w:lang w:val="uk-UA" w:eastAsia="uk-UA"/>
              </w:rPr>
              <w:t>- здiйснити вiдчуження часток у статутному капiталi товариства, що засвiдчують участь у товариствi.</w:t>
            </w:r>
          </w:p>
        </w:tc>
      </w:tr>
    </w:tbl>
    <w:p>
      <w:pPr>
        <w:spacing w:after="0" w:line="240" w:lineRule="auto"/>
        <w:rPr>
          <w:rFonts w:ascii="Times New Roman" w:eastAsia="Times New Roman" w:hAnsi="Times New Roman" w:cs="Times New Roman"/>
          <w:sz w:val="20"/>
          <w:szCs w:val="24"/>
          <w:lang w:val="uk-UA" w:eastAsia="uk-UA"/>
        </w:rPr>
      </w:pPr>
    </w:p>
    <w:p>
      <w:pPr>
        <w:spacing w:after="0" w:line="240" w:lineRule="auto"/>
        <w:rPr>
          <w:rFonts w:ascii="Times New Roman" w:eastAsia="Times New Roman" w:hAnsi="Times New Roman" w:cs="Times New Roman"/>
          <w:sz w:val="20"/>
          <w:szCs w:val="24"/>
          <w:lang w:val="uk-UA" w:eastAsia="uk-UA"/>
        </w:rPr>
      </w:pPr>
    </w:p>
    <w:p>
      <w:pPr>
        <w:spacing w:after="0" w:line="240" w:lineRule="auto"/>
        <w:rPr>
          <w:rFonts w:ascii="Times New Roman" w:eastAsia="Times New Roman" w:hAnsi="Times New Roman" w:cs="Times New Roman"/>
          <w:sz w:val="20"/>
          <w:szCs w:val="24"/>
          <w:lang w:val="uk-UA" w:eastAsia="uk-UA"/>
        </w:rPr>
      </w:pPr>
    </w:p>
    <w:p>
      <w:pPr>
        <w:sectPr>
          <w:pgSz w:w="11906" w:h="16838"/>
          <w:pgMar w:top="363" w:right="567" w:bottom="363" w:left="1417" w:header="709" w:footer="709" w:gutter="0"/>
          <w:cols w:space="708"/>
          <w:docGrid w:linePitch="360"/>
        </w:sectPr>
      </w:pPr>
    </w:p>
    <w:p>
      <w:pPr>
        <w:spacing w:before="100" w:beforeAutospacing="1" w:after="100" w:afterAutospacing="1" w:line="240" w:lineRule="auto"/>
        <w:ind w:left="1701" w:right="1758"/>
        <w:jc w:val="center"/>
        <w:outlineLvl w:val="2"/>
        <w:rPr>
          <w:rFonts w:ascii="Times New Roman" w:eastAsia="Times New Roman" w:hAnsi="Times New Roman" w:cs="Times New Roman"/>
          <w:b/>
          <w:bCs/>
          <w:color w:val="000000"/>
          <w:sz w:val="27"/>
          <w:szCs w:val="27"/>
          <w:lang w:val="uk-UA" w:eastAsia="ru-RU"/>
        </w:rPr>
      </w:pPr>
      <w:r>
        <w:rPr>
          <w:rFonts w:ascii="Times New Roman" w:eastAsia="Times New Roman" w:hAnsi="Times New Roman" w:cs="Times New Roman"/>
          <w:b/>
          <w:bCs/>
          <w:color w:val="000000"/>
          <w:sz w:val="27"/>
          <w:szCs w:val="27"/>
          <w:lang w:val="uk-UA" w:eastAsia="ru-RU"/>
        </w:rPr>
        <w:lastRenderedPageBreak/>
        <w:t>XII.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 /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4742" w:type="dxa"/>
        <w:tblInd w:w="1843" w:type="dxa"/>
        <w:tblCellMar>
          <w:top w:w="15" w:type="dxa"/>
          <w:left w:w="15" w:type="dxa"/>
          <w:bottom w:w="15" w:type="dxa"/>
          <w:right w:w="15" w:type="dxa"/>
        </w:tblCellMar>
        <w:tblLook w:val="0000" w:firstRow="0" w:lastRow="0" w:firstColumn="0" w:lastColumn="0" w:noHBand="0" w:noVBand="0"/>
      </w:tblPr>
      <w:tblGrid>
        <w:gridCol w:w="14742"/>
      </w:tblGrid>
      <w:tr>
        <w:tc>
          <w:tcPr>
            <w:tcW w:w="14742" w:type="dxa"/>
            <w:tcMar>
              <w:top w:w="60" w:type="dxa"/>
              <w:left w:w="60" w:type="dxa"/>
              <w:bottom w:w="60" w:type="dxa"/>
              <w:right w:w="60" w:type="dxa"/>
            </w:tcMar>
            <w:vAlign w:val="center"/>
          </w:tcPr>
          <w:p>
            <w:pPr>
              <w:spacing w:before="100" w:beforeAutospacing="1" w:after="100" w:afterAutospacing="1" w:line="240" w:lineRule="auto"/>
              <w:ind w:left="1401" w:hanging="1401"/>
              <w:jc w:val="center"/>
              <w:outlineLvl w:val="2"/>
              <w:rPr>
                <w:rFonts w:ascii="Times New Roman" w:eastAsia="Times New Roman" w:hAnsi="Times New Roman" w:cs="Times New Roman"/>
                <w:sz w:val="28"/>
                <w:szCs w:val="28"/>
                <w:lang w:val="uk-UA" w:eastAsia="ru-RU"/>
              </w:rPr>
            </w:pPr>
            <w:r>
              <w:rPr>
                <w:rFonts w:ascii="Times New Roman" w:eastAsia="Times New Roman" w:hAnsi="Times New Roman" w:cs="Times New Roman"/>
                <w:b/>
                <w:bCs/>
                <w:color w:val="000000"/>
                <w:sz w:val="27"/>
                <w:szCs w:val="27"/>
                <w:lang w:val="uk-UA" w:eastAsia="ru-RU"/>
              </w:rPr>
              <w:t>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tc>
      </w:tr>
    </w:tbl>
    <w:p>
      <w:pPr>
        <w:spacing w:after="0" w:line="240" w:lineRule="auto"/>
        <w:rPr>
          <w:rFonts w:ascii="Times New Roman" w:eastAsia="Times New Roman" w:hAnsi="Times New Roman" w:cs="Times New Roman"/>
          <w:vanish/>
          <w:color w:val="000000"/>
          <w:sz w:val="24"/>
          <w:szCs w:val="24"/>
          <w:lang w:val="uk-UA" w:eastAsia="uk-UA"/>
        </w:rPr>
      </w:pPr>
    </w:p>
    <w:tbl>
      <w:tblPr>
        <w:tblW w:w="15838" w:type="dxa"/>
        <w:jc w:val="center"/>
        <w:tblCellMar>
          <w:top w:w="15" w:type="dxa"/>
          <w:left w:w="15" w:type="dxa"/>
          <w:bottom w:w="15" w:type="dxa"/>
          <w:right w:w="15" w:type="dxa"/>
        </w:tblCellMar>
        <w:tblLook w:val="0000" w:firstRow="0" w:lastRow="0" w:firstColumn="0" w:lastColumn="0" w:noHBand="0" w:noVBand="0"/>
      </w:tblPr>
      <w:tblGrid>
        <w:gridCol w:w="1380"/>
        <w:gridCol w:w="2551"/>
        <w:gridCol w:w="2552"/>
        <w:gridCol w:w="1842"/>
        <w:gridCol w:w="2977"/>
        <w:gridCol w:w="2268"/>
        <w:gridCol w:w="2268"/>
      </w:tblGrid>
      <w:tr>
        <w:trPr>
          <w:jc w:val="center"/>
        </w:trPr>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color w:val="000000"/>
                <w:sz w:val="20"/>
                <w:szCs w:val="20"/>
                <w:lang w:val="uk-UA" w:eastAsia="uk-UA"/>
              </w:rPr>
              <w:t>Дата випуску</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color w:val="000000"/>
                <w:sz w:val="20"/>
                <w:szCs w:val="20"/>
                <w:lang w:val="uk-UA" w:eastAsia="uk-UA"/>
              </w:rPr>
              <w:t>Найменування органу, що зареєстрував випуск</w:t>
            </w:r>
          </w:p>
        </w:tc>
        <w:tc>
          <w:tcPr>
            <w:tcW w:w="25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color w:val="000000"/>
                <w:sz w:val="20"/>
                <w:szCs w:val="20"/>
                <w:lang w:val="uk-UA" w:eastAsia="uk-UA"/>
              </w:rPr>
              <w:t>Вид цінних паперів</w:t>
            </w:r>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color w:val="000000"/>
                <w:sz w:val="20"/>
                <w:szCs w:val="20"/>
                <w:lang w:val="uk-UA" w:eastAsia="uk-UA"/>
              </w:rPr>
              <w:t>Міжнародний ідентифікаційний номер</w:t>
            </w:r>
          </w:p>
        </w:tc>
        <w:tc>
          <w:tcPr>
            <w:tcW w:w="2977"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color w:val="000000"/>
                <w:sz w:val="20"/>
                <w:szCs w:val="20"/>
                <w:lang w:val="uk-UA" w:eastAsia="uk-UA"/>
              </w:rPr>
              <w:t>Найменування органу, що наклав обмеження</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color w:val="000000"/>
                <w:sz w:val="20"/>
                <w:szCs w:val="20"/>
                <w:lang w:val="uk-UA" w:eastAsia="uk-UA"/>
              </w:rPr>
              <w:t>Характеристика обмеження</w:t>
            </w:r>
          </w:p>
        </w:tc>
        <w:tc>
          <w:tcPr>
            <w:tcW w:w="2268"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color w:val="000000"/>
                <w:sz w:val="20"/>
                <w:szCs w:val="20"/>
                <w:lang w:val="uk-UA" w:eastAsia="uk-UA"/>
              </w:rPr>
              <w:t>Строк обмеження</w:t>
            </w:r>
          </w:p>
        </w:tc>
      </w:tr>
      <w:tr>
        <w:trPr>
          <w:jc w:val="center"/>
        </w:trPr>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1</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2</w:t>
            </w:r>
          </w:p>
        </w:tc>
        <w:tc>
          <w:tcPr>
            <w:tcW w:w="25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3</w:t>
            </w:r>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4</w:t>
            </w:r>
          </w:p>
        </w:tc>
        <w:tc>
          <w:tcPr>
            <w:tcW w:w="2977"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jc w:val="center"/>
              <w:rPr>
                <w:rFonts w:ascii="Times New Roman" w:eastAsia="Times New Roman" w:hAnsi="Times New Roman" w:cs="Times New Roman"/>
                <w:b/>
                <w:bCs/>
                <w:sz w:val="20"/>
                <w:szCs w:val="20"/>
                <w:lang w:val="en-US" w:eastAsia="uk-UA"/>
              </w:rPr>
            </w:pPr>
            <w:r>
              <w:rPr>
                <w:rFonts w:ascii="Times New Roman" w:eastAsia="Times New Roman" w:hAnsi="Times New Roman" w:cs="Times New Roman"/>
                <w:b/>
                <w:bCs/>
                <w:sz w:val="20"/>
                <w:szCs w:val="20"/>
                <w:lang w:val="en-US" w:eastAsia="uk-UA"/>
              </w:rPr>
              <w:t>5</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
                <w:bCs/>
                <w:sz w:val="20"/>
                <w:szCs w:val="20"/>
                <w:lang w:val="en-US" w:eastAsia="uk-UA"/>
              </w:rPr>
            </w:pPr>
            <w:r>
              <w:rPr>
                <w:rFonts w:ascii="Times New Roman" w:eastAsia="Times New Roman" w:hAnsi="Times New Roman" w:cs="Times New Roman"/>
                <w:b/>
                <w:bCs/>
                <w:sz w:val="20"/>
                <w:szCs w:val="20"/>
                <w:lang w:val="en-US" w:eastAsia="uk-UA"/>
              </w:rPr>
              <w:t>6</w:t>
            </w:r>
          </w:p>
        </w:tc>
        <w:tc>
          <w:tcPr>
            <w:tcW w:w="2268"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jc w:val="center"/>
              <w:rPr>
                <w:rFonts w:ascii="Times New Roman" w:eastAsia="Times New Roman" w:hAnsi="Times New Roman" w:cs="Times New Roman"/>
                <w:b/>
                <w:bCs/>
                <w:sz w:val="20"/>
                <w:szCs w:val="20"/>
                <w:lang w:val="en-US" w:eastAsia="uk-UA"/>
              </w:rPr>
            </w:pPr>
            <w:r>
              <w:rPr>
                <w:rFonts w:ascii="Times New Roman" w:eastAsia="Times New Roman" w:hAnsi="Times New Roman" w:cs="Times New Roman"/>
                <w:b/>
                <w:bCs/>
                <w:sz w:val="20"/>
                <w:szCs w:val="20"/>
                <w:lang w:val="en-US" w:eastAsia="uk-UA"/>
              </w:rPr>
              <w:t>7</w:t>
            </w:r>
          </w:p>
        </w:tc>
      </w:tr>
      <w:tr>
        <w:trPr>
          <w:jc w:val="center"/>
        </w:trPr>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01.03.2011</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Національна комісія з цінних паперів та фондового ринку                                                                                                                                                                                                       </w:t>
            </w:r>
          </w:p>
        </w:tc>
        <w:tc>
          <w:tcPr>
            <w:tcW w:w="25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 xml:space="preserve">Акція проста бездокументарна іменна                                                                                                                                                                     </w:t>
            </w:r>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UA4000079917</w:t>
            </w:r>
          </w:p>
        </w:tc>
        <w:tc>
          <w:tcPr>
            <w:tcW w:w="2977"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 xml:space="preserve">обмеження відсутні                                                                                                                                                                                                                                            </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 xml:space="preserve">обмеження відсутні    </w:t>
            </w:r>
          </w:p>
        </w:tc>
        <w:tc>
          <w:tcPr>
            <w:tcW w:w="2268"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jc w:val="center"/>
              <w:rPr>
                <w:rFonts w:ascii="Times New Roman" w:eastAsia="Times New Roman" w:hAnsi="Times New Roman" w:cs="Times New Roman"/>
                <w:bCs/>
                <w:sz w:val="20"/>
                <w:szCs w:val="20"/>
                <w:lang w:val="en-US" w:eastAsia="uk-UA"/>
              </w:rPr>
            </w:pPr>
            <w:r>
              <w:rPr>
                <w:rFonts w:ascii="Times New Roman" w:eastAsia="Times New Roman" w:hAnsi="Times New Roman" w:cs="Times New Roman"/>
                <w:bCs/>
                <w:sz w:val="20"/>
                <w:szCs w:val="20"/>
                <w:lang w:val="en-US" w:eastAsia="uk-UA"/>
              </w:rPr>
              <w:t>д/н</w:t>
            </w:r>
          </w:p>
        </w:tc>
      </w:tr>
      <w:tr>
        <w:trPr>
          <w:jc w:val="center"/>
        </w:trPr>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pPr>
              <w:spacing w:after="0" w:line="240" w:lineRule="auto"/>
              <w:jc w:val="center"/>
              <w:rPr>
                <w:rFonts w:ascii="Times New Roman" w:eastAsia="Times New Roman" w:hAnsi="Times New Roman" w:cs="Times New Roman"/>
                <w:bCs/>
                <w:sz w:val="20"/>
                <w:szCs w:val="20"/>
                <w:lang w:val="uk-UA" w:eastAsia="uk-UA"/>
              </w:rPr>
            </w:pPr>
            <w:r>
              <w:rPr>
                <w:rFonts w:ascii="Times New Roman" w:eastAsia="Times New Roman" w:hAnsi="Times New Roman" w:cs="Times New Roman"/>
                <w:bCs/>
                <w:sz w:val="20"/>
                <w:szCs w:val="20"/>
                <w:lang w:val="uk-UA" w:eastAsia="uk-UA"/>
              </w:rPr>
              <w:t>Опис</w:t>
            </w:r>
          </w:p>
        </w:tc>
        <w:tc>
          <w:tcPr>
            <w:tcW w:w="14458"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spacing w:after="0" w:line="240" w:lineRule="auto"/>
              <w:rPr>
                <w:rFonts w:ascii="Times New Roman" w:eastAsia="Times New Roman" w:hAnsi="Times New Roman" w:cs="Times New Roman"/>
                <w:bCs/>
                <w:sz w:val="20"/>
                <w:szCs w:val="20"/>
                <w:lang w:eastAsia="uk-UA"/>
              </w:rPr>
            </w:pPr>
            <w:r>
              <w:rPr>
                <w:rFonts w:ascii="Times New Roman" w:eastAsia="Times New Roman" w:hAnsi="Times New Roman" w:cs="Times New Roman"/>
                <w:bCs/>
                <w:sz w:val="20"/>
                <w:szCs w:val="20"/>
                <w:lang w:val="uk-UA" w:eastAsia="uk-UA"/>
              </w:rPr>
              <w:t>На дату розкриття інформації будь-які обмеження щодо обігу цінних паперів емітента відсутні. Ні Статутом, ні іншими внутрішніми документами  Товариства не передбачена необхідність отримання від емітента чи інших акціонерів згоди на відчуження акцій Товариства.</w:t>
            </w:r>
          </w:p>
        </w:tc>
      </w:tr>
    </w:tbl>
    <w:p>
      <w:pPr>
        <w:spacing w:after="0" w:line="240" w:lineRule="auto"/>
        <w:rPr>
          <w:rFonts w:ascii="Times New Roman" w:eastAsia="Times New Roman" w:hAnsi="Times New Roman" w:cs="Times New Roman"/>
          <w:vanish/>
          <w:color w:val="000000"/>
          <w:sz w:val="24"/>
          <w:szCs w:val="24"/>
          <w:lang w:val="uk-UA" w:eastAsia="uk-UA"/>
        </w:rPr>
      </w:pPr>
    </w:p>
    <w:p>
      <w:pPr>
        <w:spacing w:after="0" w:line="240" w:lineRule="auto"/>
        <w:rPr>
          <w:rFonts w:ascii="Times New Roman" w:eastAsia="Times New Roman" w:hAnsi="Times New Roman" w:cs="Times New Roman"/>
          <w:sz w:val="24"/>
          <w:szCs w:val="24"/>
          <w:lang w:val="uk-UA" w:eastAsia="uk-UA"/>
        </w:rPr>
      </w:pPr>
    </w:p>
    <w:p>
      <w:pPr>
        <w:sectPr>
          <w:pgSz w:w="16838" w:h="11906" w:orient="landscape"/>
          <w:pgMar w:top="1417" w:right="363" w:bottom="850" w:left="363" w:header="709" w:footer="709" w:gutter="0"/>
          <w:cols w:space="708"/>
          <w:docGrid w:linePitch="360"/>
        </w:sectPr>
      </w:pPr>
    </w:p>
    <w:p>
      <w:pPr>
        <w:spacing w:before="100" w:beforeAutospacing="1" w:after="100" w:afterAutospacing="1" w:line="240" w:lineRule="auto"/>
        <w:jc w:val="center"/>
        <w:rPr>
          <w:rFonts w:ascii="Times New Roman" w:eastAsia="Times New Roman" w:hAnsi="Times New Roman" w:cs="Times New Roman"/>
          <w:b/>
          <w:bCs/>
          <w:sz w:val="26"/>
          <w:szCs w:val="26"/>
          <w:lang w:val="uk-UA" w:eastAsia="uk-UA"/>
        </w:rPr>
      </w:pPr>
      <w:r>
        <w:rPr>
          <w:rFonts w:ascii="Times New Roman" w:eastAsia="Times New Roman" w:hAnsi="Times New Roman" w:cs="Times New Roman"/>
          <w:b/>
          <w:bCs/>
          <w:sz w:val="26"/>
          <w:szCs w:val="26"/>
          <w:lang w:val="uk-UA" w:eastAsia="uk-UA"/>
        </w:rPr>
        <w:lastRenderedPageBreak/>
        <w:t>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2049"/>
        <w:gridCol w:w="2141"/>
        <w:gridCol w:w="2142"/>
        <w:gridCol w:w="2141"/>
        <w:gridCol w:w="2142"/>
        <w:gridCol w:w="2142"/>
      </w:tblGrid>
      <w:tr>
        <w:trPr>
          <w:trHeight w:val="1214"/>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val="uk-UA" w:eastAsia="uk-UA"/>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val="uk-UA" w:eastAsia="uk-UA"/>
              </w:rPr>
              <w:t>Номер свідоцтва про реєстрацію випуску</w:t>
            </w:r>
          </w:p>
        </w:tc>
        <w:tc>
          <w:tcPr>
            <w:tcW w:w="2049" w:type="dxa"/>
            <w:tcBorders>
              <w:top w:val="single" w:sz="4" w:space="0" w:color="auto"/>
              <w:left w:val="single" w:sz="4" w:space="0" w:color="auto"/>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val="uk-UA" w:eastAsia="uk-UA"/>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val="uk-UA" w:eastAsia="uk-UA"/>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val="uk-UA" w:eastAsia="uk-UA"/>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val="uk-UA" w:eastAsia="uk-UA"/>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val="uk-UA" w:eastAsia="uk-UA"/>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pPr>
              <w:tabs>
                <w:tab w:val="left" w:pos="1035"/>
              </w:tabs>
              <w:spacing w:after="0" w:line="240" w:lineRule="auto"/>
              <w:jc w:val="center"/>
              <w:rPr>
                <w:rFonts w:ascii="Times New Roman" w:eastAsia="Times New Roman" w:hAnsi="Times New Roman" w:cs="Times New Roman"/>
                <w:b/>
                <w:color w:val="000000"/>
                <w:sz w:val="18"/>
                <w:szCs w:val="18"/>
                <w:lang w:val="x-none" w:eastAsia="uk-UA"/>
              </w:rPr>
            </w:pPr>
            <w:r>
              <w:rPr>
                <w:rFonts w:ascii="Times New Roman" w:eastAsia="Times New Roman" w:hAnsi="Times New Roman" w:cs="Times New Roman"/>
                <w:b/>
                <w:sz w:val="20"/>
                <w:szCs w:val="20"/>
                <w:lang w:val="uk-UA" w:eastAsia="uk-UA"/>
              </w:rPr>
              <w:t>Кількість голосуючих акцій, права голосу за якими за результатами обмеження таких прав передано іншій особі (шт.)</w:t>
            </w:r>
          </w:p>
        </w:tc>
      </w:tr>
      <w:tr>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val="uk-UA" w:eastAsia="uk-UA"/>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val="uk-UA" w:eastAsia="uk-UA"/>
              </w:rPr>
              <w:t>2</w:t>
            </w:r>
          </w:p>
        </w:tc>
        <w:tc>
          <w:tcPr>
            <w:tcW w:w="2049" w:type="dxa"/>
            <w:tcBorders>
              <w:top w:val="single" w:sz="4" w:space="0" w:color="auto"/>
              <w:left w:val="single" w:sz="4" w:space="0" w:color="auto"/>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val="uk-UA" w:eastAsia="uk-UA"/>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val="uk-UA" w:eastAsia="uk-UA"/>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val="uk-UA" w:eastAsia="uk-UA"/>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val="uk-UA" w:eastAsia="uk-UA"/>
              </w:rPr>
              <w:t>6</w:t>
            </w:r>
          </w:p>
        </w:tc>
        <w:tc>
          <w:tcPr>
            <w:tcW w:w="2142" w:type="dxa"/>
            <w:tcBorders>
              <w:top w:val="single" w:sz="4" w:space="0" w:color="auto"/>
              <w:left w:val="single" w:sz="4" w:space="0" w:color="auto"/>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val="uk-UA" w:eastAsia="uk-UA"/>
              </w:rPr>
              <w:t>7</w:t>
            </w:r>
          </w:p>
        </w:tc>
        <w:tc>
          <w:tcPr>
            <w:tcW w:w="2142" w:type="dxa"/>
            <w:tcBorders>
              <w:top w:val="single" w:sz="4" w:space="0" w:color="auto"/>
              <w:left w:val="single" w:sz="4" w:space="0" w:color="auto"/>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val="uk-UA" w:eastAsia="uk-UA"/>
              </w:rPr>
              <w:t>8</w:t>
            </w:r>
          </w:p>
        </w:tc>
      </w:tr>
      <w:tr>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uk-UA" w:eastAsia="uk-UA"/>
              </w:rPr>
              <w:t>01.03.2011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uk-UA" w:eastAsia="uk-UA"/>
              </w:rPr>
              <w:t>116/1/11</w:t>
            </w:r>
          </w:p>
        </w:tc>
        <w:tc>
          <w:tcPr>
            <w:tcW w:w="2049" w:type="dxa"/>
            <w:tcBorders>
              <w:top w:val="single" w:sz="4" w:space="0" w:color="auto"/>
              <w:left w:val="single" w:sz="4" w:space="0" w:color="auto"/>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uk-UA" w:eastAsia="uk-UA"/>
              </w:rPr>
              <w:t>UA4000079917</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uk-UA" w:eastAsia="uk-UA"/>
              </w:rPr>
              <w:t>1022432914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uk-UA" w:eastAsia="uk-UA"/>
              </w:rPr>
              <w:t>1.00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uk-UA" w:eastAsia="uk-UA"/>
              </w:rPr>
              <w:t>1022432914</w:t>
            </w:r>
          </w:p>
        </w:tc>
        <w:tc>
          <w:tcPr>
            <w:tcW w:w="2142" w:type="dxa"/>
            <w:tcBorders>
              <w:top w:val="single" w:sz="4" w:space="0" w:color="auto"/>
              <w:left w:val="single" w:sz="4" w:space="0" w:color="auto"/>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uk-UA" w:eastAsia="uk-UA"/>
              </w:rPr>
              <w:t>0</w:t>
            </w:r>
          </w:p>
        </w:tc>
        <w:tc>
          <w:tcPr>
            <w:tcW w:w="2142" w:type="dxa"/>
            <w:tcBorders>
              <w:top w:val="single" w:sz="4" w:space="0" w:color="auto"/>
              <w:left w:val="single" w:sz="4" w:space="0" w:color="auto"/>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uk-UA" w:eastAsia="uk-UA"/>
              </w:rPr>
              <w:t>0</w:t>
            </w:r>
          </w:p>
        </w:tc>
      </w:tr>
      <w:tr>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b/>
                <w:sz w:val="20"/>
                <w:szCs w:val="20"/>
                <w:lang w:val="uk-UA" w:eastAsia="uk-UA"/>
              </w:rPr>
            </w:pPr>
            <w:r>
              <w:rPr>
                <w:rFonts w:ascii="Times New Roman" w:eastAsia="Times New Roman" w:hAnsi="Times New Roman" w:cs="Times New Roman"/>
                <w:b/>
                <w:sz w:val="20"/>
                <w:szCs w:val="20"/>
                <w:lang w:val="uk-UA" w:eastAsia="uk-UA"/>
              </w:rPr>
              <w:t>Опис</w:t>
            </w:r>
          </w:p>
        </w:tc>
        <w:tc>
          <w:tcPr>
            <w:tcW w:w="14600" w:type="dxa"/>
            <w:gridSpan w:val="7"/>
            <w:tcBorders>
              <w:top w:val="single" w:sz="4" w:space="0" w:color="auto"/>
              <w:left w:val="single" w:sz="4" w:space="0" w:color="auto"/>
              <w:bottom w:val="single" w:sz="4" w:space="0" w:color="auto"/>
              <w:right w:val="single" w:sz="4" w:space="0" w:color="auto"/>
            </w:tcBorders>
            <w:shd w:val="clear" w:color="auto" w:fill="auto"/>
          </w:tcPr>
          <w:p>
            <w:pPr>
              <w:spacing w:after="0" w:line="240" w:lineRule="auto"/>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uk-UA" w:eastAsia="uk-UA"/>
              </w:rPr>
              <w:t xml:space="preserve">Обмеження щодо права голосу за голосуючими акціями відсутні. </w:t>
            </w:r>
          </w:p>
          <w:p>
            <w:pPr>
              <w:spacing w:after="0" w:line="240" w:lineRule="auto"/>
              <w:rPr>
                <w:rFonts w:ascii="Times New Roman" w:eastAsia="Times New Roman" w:hAnsi="Times New Roman" w:cs="Times New Roman"/>
                <w:b/>
                <w:sz w:val="20"/>
                <w:szCs w:val="20"/>
                <w:lang w:val="uk-UA" w:eastAsia="uk-UA"/>
              </w:rPr>
            </w:pPr>
            <w:r>
              <w:rPr>
                <w:rFonts w:ascii="Times New Roman" w:eastAsia="Times New Roman" w:hAnsi="Times New Roman" w:cs="Times New Roman"/>
                <w:sz w:val="20"/>
                <w:szCs w:val="20"/>
                <w:lang w:val="uk-UA" w:eastAsia="uk-UA"/>
              </w:rPr>
              <w:t>Голосуючих акцій, право голосу за якими за результатами обмеження таких прав передано іншій особі, немає.</w:t>
            </w:r>
          </w:p>
        </w:tc>
      </w:tr>
    </w:tbl>
    <w:p>
      <w:pPr>
        <w:spacing w:after="0" w:line="240" w:lineRule="auto"/>
        <w:rPr>
          <w:rFonts w:ascii="Times New Roman" w:eastAsia="Times New Roman" w:hAnsi="Times New Roman" w:cs="Times New Roman"/>
          <w:sz w:val="24"/>
          <w:szCs w:val="24"/>
          <w:lang w:eastAsia="uk-UA"/>
        </w:rPr>
      </w:pPr>
    </w:p>
    <w:p>
      <w:pPr>
        <w:sectPr>
          <w:pgSz w:w="16838" w:h="11906" w:orient="landscape"/>
          <w:pgMar w:top="1417" w:right="363" w:bottom="850" w:left="363" w:header="709" w:footer="709" w:gutter="0"/>
          <w:cols w:space="708"/>
          <w:docGrid w:linePitch="360"/>
        </w:sectPr>
      </w:pPr>
    </w:p>
    <w:p>
      <w:pPr>
        <w:spacing w:before="100" w:beforeAutospacing="1" w:after="100" w:afterAutospacing="1" w:line="240" w:lineRule="auto"/>
        <w:jc w:val="center"/>
        <w:outlineLvl w:val="2"/>
        <w:rPr>
          <w:rFonts w:ascii="Times New Roman" w:eastAsia="Times New Roman" w:hAnsi="Times New Roman" w:cs="Times New Roman"/>
          <w:b/>
          <w:bCs/>
          <w:sz w:val="26"/>
          <w:szCs w:val="26"/>
          <w:lang w:val="uk-UA" w:eastAsia="uk-UA"/>
        </w:rPr>
      </w:pPr>
      <w:r>
        <w:rPr>
          <w:rFonts w:ascii="Times New Roman" w:eastAsia="Times New Roman" w:hAnsi="Times New Roman" w:cs="Times New Roman"/>
          <w:b/>
          <w:bCs/>
          <w:sz w:val="26"/>
          <w:szCs w:val="26"/>
          <w:lang w:val="uk-UA" w:eastAsia="uk-UA"/>
        </w:rPr>
        <w:lastRenderedPageBreak/>
        <w:t>ХV. Проміжний звіт керівництва</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Інформація про розвиток емітента.</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Впродовж 4-го кварталу 2021 року ПрАТ "Карлсберг Україна" зд</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йснювало свою д</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яльн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сть в межах затвердженої стратег</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ї розвитку Компан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ї, основн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види д</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яльност</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не зм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нювало, працювали в штатному режим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з дотриманням вс</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х необх</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дних заход</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 захисту щодо пандем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ї </w:t>
      </w:r>
      <w:r>
        <w:rPr>
          <w:rFonts w:ascii="Times New Roman" w:eastAsia="Times New Roman" w:hAnsi="Times New Roman" w:cs="Times New Roman"/>
          <w:sz w:val="20"/>
          <w:szCs w:val="20"/>
          <w:lang w:val="en-US" w:eastAsia="uk-UA"/>
        </w:rPr>
        <w:t>COVID</w:t>
      </w:r>
      <w:r>
        <w:rPr>
          <w:rFonts w:ascii="Times New Roman" w:eastAsia="Times New Roman" w:hAnsi="Times New Roman" w:cs="Times New Roman"/>
          <w:sz w:val="20"/>
          <w:szCs w:val="20"/>
          <w:lang w:eastAsia="uk-UA"/>
        </w:rPr>
        <w:t>-19.</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ПрАТ "Карлсберг Україна" є частиною </w:t>
      </w:r>
      <w:r>
        <w:rPr>
          <w:rFonts w:ascii="Times New Roman" w:eastAsia="Times New Roman" w:hAnsi="Times New Roman" w:cs="Times New Roman"/>
          <w:sz w:val="20"/>
          <w:szCs w:val="20"/>
          <w:lang w:val="en-US" w:eastAsia="uk-UA"/>
        </w:rPr>
        <w:t>Carlsberg</w:t>
      </w:r>
      <w:r>
        <w:rPr>
          <w:rFonts w:ascii="Times New Roman" w:eastAsia="Times New Roman" w:hAnsi="Times New Roman" w:cs="Times New Roman"/>
          <w:sz w:val="20"/>
          <w:szCs w:val="20"/>
          <w:lang w:eastAsia="uk-UA"/>
        </w:rPr>
        <w:t xml:space="preserve"> </w:t>
      </w:r>
      <w:r>
        <w:rPr>
          <w:rFonts w:ascii="Times New Roman" w:eastAsia="Times New Roman" w:hAnsi="Times New Roman" w:cs="Times New Roman"/>
          <w:sz w:val="20"/>
          <w:szCs w:val="20"/>
          <w:lang w:val="en-US" w:eastAsia="uk-UA"/>
        </w:rPr>
        <w:t>Group</w:t>
      </w:r>
      <w:r>
        <w:rPr>
          <w:rFonts w:ascii="Times New Roman" w:eastAsia="Times New Roman" w:hAnsi="Times New Roman" w:cs="Times New Roman"/>
          <w:sz w:val="20"/>
          <w:szCs w:val="20"/>
          <w:lang w:eastAsia="uk-UA"/>
        </w:rPr>
        <w:t xml:space="preserve">, однієї з провідних пивоварних Груп у світі з великим портфелем брендів пива та інших напоїв. Бренд </w:t>
      </w:r>
      <w:r>
        <w:rPr>
          <w:rFonts w:ascii="Times New Roman" w:eastAsia="Times New Roman" w:hAnsi="Times New Roman" w:cs="Times New Roman"/>
          <w:sz w:val="20"/>
          <w:szCs w:val="20"/>
          <w:lang w:val="en-US" w:eastAsia="uk-UA"/>
        </w:rPr>
        <w:t>Carlsberg</w:t>
      </w:r>
      <w:r>
        <w:rPr>
          <w:rFonts w:ascii="Times New Roman" w:eastAsia="Times New Roman" w:hAnsi="Times New Roman" w:cs="Times New Roman"/>
          <w:sz w:val="20"/>
          <w:szCs w:val="20"/>
          <w:lang w:eastAsia="uk-UA"/>
        </w:rPr>
        <w:t xml:space="preserve"> є одним із найвідоміших пивних брендів у світі, а такі бренди як </w:t>
      </w:r>
      <w:r>
        <w:rPr>
          <w:rFonts w:ascii="Times New Roman" w:eastAsia="Times New Roman" w:hAnsi="Times New Roman" w:cs="Times New Roman"/>
          <w:sz w:val="20"/>
          <w:szCs w:val="20"/>
          <w:lang w:val="en-US" w:eastAsia="uk-UA"/>
        </w:rPr>
        <w:t>Baltika</w:t>
      </w:r>
      <w:r>
        <w:rPr>
          <w:rFonts w:ascii="Times New Roman" w:eastAsia="Times New Roman" w:hAnsi="Times New Roman" w:cs="Times New Roman"/>
          <w:sz w:val="20"/>
          <w:szCs w:val="20"/>
          <w:lang w:eastAsia="uk-UA"/>
        </w:rPr>
        <w:t xml:space="preserve"> і </w:t>
      </w:r>
      <w:r>
        <w:rPr>
          <w:rFonts w:ascii="Times New Roman" w:eastAsia="Times New Roman" w:hAnsi="Times New Roman" w:cs="Times New Roman"/>
          <w:sz w:val="20"/>
          <w:szCs w:val="20"/>
          <w:lang w:val="en-US" w:eastAsia="uk-UA"/>
        </w:rPr>
        <w:t>Tuborg</w:t>
      </w:r>
      <w:r>
        <w:rPr>
          <w:rFonts w:ascii="Times New Roman" w:eastAsia="Times New Roman" w:hAnsi="Times New Roman" w:cs="Times New Roman"/>
          <w:sz w:val="20"/>
          <w:szCs w:val="20"/>
          <w:lang w:eastAsia="uk-UA"/>
        </w:rPr>
        <w:t xml:space="preserve"> входять до числа найбільш популярних пивних брендів у Європі. З моменту заснування (1847 рік) Група стабільно працює і здійснює позитивний внесок в розвиток суспільства на всіх своїх ринках. У </w:t>
      </w:r>
      <w:r>
        <w:rPr>
          <w:rFonts w:ascii="Times New Roman" w:eastAsia="Times New Roman" w:hAnsi="Times New Roman" w:cs="Times New Roman"/>
          <w:sz w:val="20"/>
          <w:szCs w:val="20"/>
          <w:lang w:val="en-US" w:eastAsia="uk-UA"/>
        </w:rPr>
        <w:t>Carlsberg</w:t>
      </w:r>
      <w:r>
        <w:rPr>
          <w:rFonts w:ascii="Times New Roman" w:eastAsia="Times New Roman" w:hAnsi="Times New Roman" w:cs="Times New Roman"/>
          <w:sz w:val="20"/>
          <w:szCs w:val="20"/>
          <w:lang w:eastAsia="uk-UA"/>
        </w:rPr>
        <w:t xml:space="preserve"> </w:t>
      </w:r>
      <w:r>
        <w:rPr>
          <w:rFonts w:ascii="Times New Roman" w:eastAsia="Times New Roman" w:hAnsi="Times New Roman" w:cs="Times New Roman"/>
          <w:sz w:val="20"/>
          <w:szCs w:val="20"/>
          <w:lang w:val="en-US" w:eastAsia="uk-UA"/>
        </w:rPr>
        <w:t>Group</w:t>
      </w:r>
      <w:r>
        <w:rPr>
          <w:rFonts w:ascii="Times New Roman" w:eastAsia="Times New Roman" w:hAnsi="Times New Roman" w:cs="Times New Roman"/>
          <w:sz w:val="20"/>
          <w:szCs w:val="20"/>
          <w:lang w:eastAsia="uk-UA"/>
        </w:rPr>
        <w:t xml:space="preserve"> працюють понад 40 000 осіб, а продукція Групи продається на більш ніж 150 ринках світу. </w:t>
      </w:r>
      <w:r>
        <w:rPr>
          <w:rFonts w:ascii="Times New Roman" w:eastAsia="Times New Roman" w:hAnsi="Times New Roman" w:cs="Times New Roman"/>
          <w:sz w:val="20"/>
          <w:szCs w:val="20"/>
          <w:lang w:val="en-US" w:eastAsia="uk-UA"/>
        </w:rPr>
        <w:t>Carlsberg</w:t>
      </w:r>
      <w:r>
        <w:rPr>
          <w:rFonts w:ascii="Times New Roman" w:eastAsia="Times New Roman" w:hAnsi="Times New Roman" w:cs="Times New Roman"/>
          <w:sz w:val="20"/>
          <w:szCs w:val="20"/>
          <w:lang w:eastAsia="uk-UA"/>
        </w:rPr>
        <w:t xml:space="preserve"> </w:t>
      </w:r>
      <w:r>
        <w:rPr>
          <w:rFonts w:ascii="Times New Roman" w:eastAsia="Times New Roman" w:hAnsi="Times New Roman" w:cs="Times New Roman"/>
          <w:sz w:val="20"/>
          <w:szCs w:val="20"/>
          <w:lang w:val="en-US" w:eastAsia="uk-UA"/>
        </w:rPr>
        <w:t>Group</w:t>
      </w:r>
      <w:r>
        <w:rPr>
          <w:rFonts w:ascii="Times New Roman" w:eastAsia="Times New Roman" w:hAnsi="Times New Roman" w:cs="Times New Roman"/>
          <w:sz w:val="20"/>
          <w:szCs w:val="20"/>
          <w:lang w:eastAsia="uk-UA"/>
        </w:rPr>
        <w:t xml:space="preserve"> – один із найбільших данських інвесторів на території України.</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До складу ПрАТ "Карлсберг Україна" входять заводи в Запоріжжі, Києві та Львові. При цьому, Львівська пивоварня – перша промислова пивоварня країни. У компанії працює понад 1340 чоловік. В портфель </w:t>
      </w:r>
      <w:r>
        <w:rPr>
          <w:rFonts w:ascii="Times New Roman" w:eastAsia="Times New Roman" w:hAnsi="Times New Roman" w:cs="Times New Roman"/>
          <w:sz w:val="20"/>
          <w:szCs w:val="20"/>
          <w:lang w:val="en-US" w:eastAsia="uk-UA"/>
        </w:rPr>
        <w:t>Carlsberg</w:t>
      </w:r>
      <w:r>
        <w:rPr>
          <w:rFonts w:ascii="Times New Roman" w:eastAsia="Times New Roman" w:hAnsi="Times New Roman" w:cs="Times New Roman"/>
          <w:sz w:val="20"/>
          <w:szCs w:val="20"/>
          <w:lang w:eastAsia="uk-UA"/>
        </w:rPr>
        <w:t xml:space="preserve"> в Україні входять пиво, алкогольні та безалкогольні напої таких торговельних марок, як «Львівське», </w:t>
      </w:r>
      <w:r>
        <w:rPr>
          <w:rFonts w:ascii="Times New Roman" w:eastAsia="Times New Roman" w:hAnsi="Times New Roman" w:cs="Times New Roman"/>
          <w:sz w:val="20"/>
          <w:szCs w:val="20"/>
          <w:lang w:val="en-US" w:eastAsia="uk-UA"/>
        </w:rPr>
        <w:t>Robert</w:t>
      </w:r>
      <w:r>
        <w:rPr>
          <w:rFonts w:ascii="Times New Roman" w:eastAsia="Times New Roman" w:hAnsi="Times New Roman" w:cs="Times New Roman"/>
          <w:sz w:val="20"/>
          <w:szCs w:val="20"/>
          <w:lang w:eastAsia="uk-UA"/>
        </w:rPr>
        <w:t xml:space="preserve"> </w:t>
      </w:r>
      <w:r>
        <w:rPr>
          <w:rFonts w:ascii="Times New Roman" w:eastAsia="Times New Roman" w:hAnsi="Times New Roman" w:cs="Times New Roman"/>
          <w:sz w:val="20"/>
          <w:szCs w:val="20"/>
          <w:lang w:val="en-US" w:eastAsia="uk-UA"/>
        </w:rPr>
        <w:t>Doms</w:t>
      </w:r>
      <w:r>
        <w:rPr>
          <w:rFonts w:ascii="Times New Roman" w:eastAsia="Times New Roman" w:hAnsi="Times New Roman" w:cs="Times New Roman"/>
          <w:sz w:val="20"/>
          <w:szCs w:val="20"/>
          <w:lang w:eastAsia="uk-UA"/>
        </w:rPr>
        <w:t xml:space="preserve">, </w:t>
      </w:r>
      <w:r>
        <w:rPr>
          <w:rFonts w:ascii="Times New Roman" w:eastAsia="Times New Roman" w:hAnsi="Times New Roman" w:cs="Times New Roman"/>
          <w:sz w:val="20"/>
          <w:szCs w:val="20"/>
          <w:lang w:val="en-US" w:eastAsia="uk-UA"/>
        </w:rPr>
        <w:t>Baltika</w:t>
      </w:r>
      <w:r>
        <w:rPr>
          <w:rFonts w:ascii="Times New Roman" w:eastAsia="Times New Roman" w:hAnsi="Times New Roman" w:cs="Times New Roman"/>
          <w:sz w:val="20"/>
          <w:szCs w:val="20"/>
          <w:lang w:eastAsia="uk-UA"/>
        </w:rPr>
        <w:t xml:space="preserve">, </w:t>
      </w:r>
      <w:r>
        <w:rPr>
          <w:rFonts w:ascii="Times New Roman" w:eastAsia="Times New Roman" w:hAnsi="Times New Roman" w:cs="Times New Roman"/>
          <w:sz w:val="20"/>
          <w:szCs w:val="20"/>
          <w:lang w:val="en-US" w:eastAsia="uk-UA"/>
        </w:rPr>
        <w:t>Carlsberg</w:t>
      </w:r>
      <w:r>
        <w:rPr>
          <w:rFonts w:ascii="Times New Roman" w:eastAsia="Times New Roman" w:hAnsi="Times New Roman" w:cs="Times New Roman"/>
          <w:sz w:val="20"/>
          <w:szCs w:val="20"/>
          <w:lang w:eastAsia="uk-UA"/>
        </w:rPr>
        <w:t xml:space="preserve">, </w:t>
      </w:r>
      <w:r>
        <w:rPr>
          <w:rFonts w:ascii="Times New Roman" w:eastAsia="Times New Roman" w:hAnsi="Times New Roman" w:cs="Times New Roman"/>
          <w:sz w:val="20"/>
          <w:szCs w:val="20"/>
          <w:lang w:val="en-US" w:eastAsia="uk-UA"/>
        </w:rPr>
        <w:t>Tuborg</w:t>
      </w:r>
      <w:r>
        <w:rPr>
          <w:rFonts w:ascii="Times New Roman" w:eastAsia="Times New Roman" w:hAnsi="Times New Roman" w:cs="Times New Roman"/>
          <w:sz w:val="20"/>
          <w:szCs w:val="20"/>
          <w:lang w:eastAsia="uk-UA"/>
        </w:rPr>
        <w:t xml:space="preserve">, </w:t>
      </w:r>
      <w:r>
        <w:rPr>
          <w:rFonts w:ascii="Times New Roman" w:eastAsia="Times New Roman" w:hAnsi="Times New Roman" w:cs="Times New Roman"/>
          <w:sz w:val="20"/>
          <w:szCs w:val="20"/>
          <w:lang w:val="en-US" w:eastAsia="uk-UA"/>
        </w:rPr>
        <w:t>Kronenbourg</w:t>
      </w:r>
      <w:r>
        <w:rPr>
          <w:rFonts w:ascii="Times New Roman" w:eastAsia="Times New Roman" w:hAnsi="Times New Roman" w:cs="Times New Roman"/>
          <w:sz w:val="20"/>
          <w:szCs w:val="20"/>
          <w:lang w:eastAsia="uk-UA"/>
        </w:rPr>
        <w:t xml:space="preserve"> 1664, «Арсенал», «Квас Тарас», </w:t>
      </w:r>
      <w:r>
        <w:rPr>
          <w:rFonts w:ascii="Times New Roman" w:eastAsia="Times New Roman" w:hAnsi="Times New Roman" w:cs="Times New Roman"/>
          <w:sz w:val="20"/>
          <w:szCs w:val="20"/>
          <w:lang w:val="en-US" w:eastAsia="uk-UA"/>
        </w:rPr>
        <w:t>Somersby</w:t>
      </w:r>
      <w:r>
        <w:rPr>
          <w:rFonts w:ascii="Times New Roman" w:eastAsia="Times New Roman" w:hAnsi="Times New Roman" w:cs="Times New Roman"/>
          <w:sz w:val="20"/>
          <w:szCs w:val="20"/>
          <w:lang w:eastAsia="uk-UA"/>
        </w:rPr>
        <w:t xml:space="preserve">, </w:t>
      </w:r>
      <w:r>
        <w:rPr>
          <w:rFonts w:ascii="Times New Roman" w:eastAsia="Times New Roman" w:hAnsi="Times New Roman" w:cs="Times New Roman"/>
          <w:sz w:val="20"/>
          <w:szCs w:val="20"/>
          <w:lang w:val="en-US" w:eastAsia="uk-UA"/>
        </w:rPr>
        <w:t>Guinness</w:t>
      </w:r>
      <w:r>
        <w:rPr>
          <w:rFonts w:ascii="Times New Roman" w:eastAsia="Times New Roman" w:hAnsi="Times New Roman" w:cs="Times New Roman"/>
          <w:sz w:val="20"/>
          <w:szCs w:val="20"/>
          <w:lang w:eastAsia="uk-UA"/>
        </w:rPr>
        <w:t xml:space="preserve">, </w:t>
      </w:r>
      <w:r>
        <w:rPr>
          <w:rFonts w:ascii="Times New Roman" w:eastAsia="Times New Roman" w:hAnsi="Times New Roman" w:cs="Times New Roman"/>
          <w:sz w:val="20"/>
          <w:szCs w:val="20"/>
          <w:lang w:val="en-US" w:eastAsia="uk-UA"/>
        </w:rPr>
        <w:t>Seth</w:t>
      </w:r>
      <w:r>
        <w:rPr>
          <w:rFonts w:ascii="Times New Roman" w:eastAsia="Times New Roman" w:hAnsi="Times New Roman" w:cs="Times New Roman"/>
          <w:sz w:val="20"/>
          <w:szCs w:val="20"/>
          <w:lang w:eastAsia="uk-UA"/>
        </w:rPr>
        <w:t>&amp;</w:t>
      </w:r>
      <w:r>
        <w:rPr>
          <w:rFonts w:ascii="Times New Roman" w:eastAsia="Times New Roman" w:hAnsi="Times New Roman" w:cs="Times New Roman"/>
          <w:sz w:val="20"/>
          <w:szCs w:val="20"/>
          <w:lang w:val="en-US" w:eastAsia="uk-UA"/>
        </w:rPr>
        <w:t>Riley</w:t>
      </w:r>
      <w:r>
        <w:rPr>
          <w:rFonts w:ascii="Times New Roman" w:eastAsia="Times New Roman" w:hAnsi="Times New Roman" w:cs="Times New Roman"/>
          <w:sz w:val="20"/>
          <w:szCs w:val="20"/>
          <w:lang w:eastAsia="uk-UA"/>
        </w:rPr>
        <w:t>'</w:t>
      </w:r>
      <w:r>
        <w:rPr>
          <w:rFonts w:ascii="Times New Roman" w:eastAsia="Times New Roman" w:hAnsi="Times New Roman" w:cs="Times New Roman"/>
          <w:sz w:val="20"/>
          <w:szCs w:val="20"/>
          <w:lang w:val="en-US" w:eastAsia="uk-UA"/>
        </w:rPr>
        <w:t>s</w:t>
      </w:r>
      <w:r>
        <w:rPr>
          <w:rFonts w:ascii="Times New Roman" w:eastAsia="Times New Roman" w:hAnsi="Times New Roman" w:cs="Times New Roman"/>
          <w:sz w:val="20"/>
          <w:szCs w:val="20"/>
          <w:lang w:eastAsia="uk-UA"/>
        </w:rPr>
        <w:t xml:space="preserve"> </w:t>
      </w:r>
      <w:r>
        <w:rPr>
          <w:rFonts w:ascii="Times New Roman" w:eastAsia="Times New Roman" w:hAnsi="Times New Roman" w:cs="Times New Roman"/>
          <w:sz w:val="20"/>
          <w:szCs w:val="20"/>
          <w:lang w:val="en-US" w:eastAsia="uk-UA"/>
        </w:rPr>
        <w:t>Garage</w:t>
      </w:r>
      <w:r>
        <w:rPr>
          <w:rFonts w:ascii="Times New Roman" w:eastAsia="Times New Roman" w:hAnsi="Times New Roman" w:cs="Times New Roman"/>
          <w:sz w:val="20"/>
          <w:szCs w:val="20"/>
          <w:lang w:eastAsia="uk-UA"/>
        </w:rPr>
        <w:t xml:space="preserve">, </w:t>
      </w:r>
      <w:r>
        <w:rPr>
          <w:rFonts w:ascii="Times New Roman" w:eastAsia="Times New Roman" w:hAnsi="Times New Roman" w:cs="Times New Roman"/>
          <w:sz w:val="20"/>
          <w:szCs w:val="20"/>
          <w:lang w:val="en-US" w:eastAsia="uk-UA"/>
        </w:rPr>
        <w:t>Warsteiner</w:t>
      </w:r>
      <w:r>
        <w:rPr>
          <w:rFonts w:ascii="Times New Roman" w:eastAsia="Times New Roman" w:hAnsi="Times New Roman" w:cs="Times New Roman"/>
          <w:sz w:val="20"/>
          <w:szCs w:val="20"/>
          <w:lang w:eastAsia="uk-UA"/>
        </w:rPr>
        <w:t xml:space="preserve">, </w:t>
      </w:r>
      <w:r>
        <w:rPr>
          <w:rFonts w:ascii="Times New Roman" w:eastAsia="Times New Roman" w:hAnsi="Times New Roman" w:cs="Times New Roman"/>
          <w:sz w:val="20"/>
          <w:szCs w:val="20"/>
          <w:lang w:val="en-US" w:eastAsia="uk-UA"/>
        </w:rPr>
        <w:t>Grimbergen</w:t>
      </w:r>
      <w:r>
        <w:rPr>
          <w:rFonts w:ascii="Times New Roman" w:eastAsia="Times New Roman" w:hAnsi="Times New Roman" w:cs="Times New Roman"/>
          <w:sz w:val="20"/>
          <w:szCs w:val="20"/>
          <w:lang w:eastAsia="uk-UA"/>
        </w:rPr>
        <w:t xml:space="preserve"> та інші.</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За підсумками 2020 року компанія ПрАТ "Карлсберг Україна" офіційно зайняла перше місце на ринку пива в Україні з часткою ринку 30,3% в натуральному вираженні за даними компанії </w:t>
      </w:r>
      <w:r>
        <w:rPr>
          <w:rFonts w:ascii="Times New Roman" w:eastAsia="Times New Roman" w:hAnsi="Times New Roman" w:cs="Times New Roman"/>
          <w:sz w:val="20"/>
          <w:szCs w:val="20"/>
          <w:lang w:val="en-US" w:eastAsia="uk-UA"/>
        </w:rPr>
        <w:t>Nielsen</w:t>
      </w:r>
      <w:r>
        <w:rPr>
          <w:rFonts w:ascii="Times New Roman" w:eastAsia="Times New Roman" w:hAnsi="Times New Roman" w:cs="Times New Roman"/>
          <w:sz w:val="20"/>
          <w:szCs w:val="20"/>
          <w:lang w:eastAsia="uk-UA"/>
        </w:rPr>
        <w:t xml:space="preserve"> (</w:t>
      </w:r>
      <w:r>
        <w:rPr>
          <w:rFonts w:ascii="Times New Roman" w:eastAsia="Times New Roman" w:hAnsi="Times New Roman" w:cs="Times New Roman"/>
          <w:sz w:val="20"/>
          <w:szCs w:val="20"/>
          <w:lang w:val="en-US" w:eastAsia="uk-UA"/>
        </w:rPr>
        <w:t>Nielsen</w:t>
      </w:r>
      <w:r>
        <w:rPr>
          <w:rFonts w:ascii="Times New Roman" w:eastAsia="Times New Roman" w:hAnsi="Times New Roman" w:cs="Times New Roman"/>
          <w:sz w:val="20"/>
          <w:szCs w:val="20"/>
          <w:lang w:eastAsia="uk-UA"/>
        </w:rPr>
        <w:t xml:space="preserve"> </w:t>
      </w:r>
      <w:r>
        <w:rPr>
          <w:rFonts w:ascii="Times New Roman" w:eastAsia="Times New Roman" w:hAnsi="Times New Roman" w:cs="Times New Roman"/>
          <w:sz w:val="20"/>
          <w:szCs w:val="20"/>
          <w:lang w:val="en-US" w:eastAsia="uk-UA"/>
        </w:rPr>
        <w:t>Holdings</w:t>
      </w:r>
      <w:r>
        <w:rPr>
          <w:rFonts w:ascii="Times New Roman" w:eastAsia="Times New Roman" w:hAnsi="Times New Roman" w:cs="Times New Roman"/>
          <w:sz w:val="20"/>
          <w:szCs w:val="20"/>
          <w:lang w:eastAsia="uk-UA"/>
        </w:rPr>
        <w:t xml:space="preserve"> </w:t>
      </w:r>
      <w:r>
        <w:rPr>
          <w:rFonts w:ascii="Times New Roman" w:eastAsia="Times New Roman" w:hAnsi="Times New Roman" w:cs="Times New Roman"/>
          <w:sz w:val="20"/>
          <w:szCs w:val="20"/>
          <w:lang w:val="en-US" w:eastAsia="uk-UA"/>
        </w:rPr>
        <w:t>N</w:t>
      </w:r>
      <w:r>
        <w:rPr>
          <w:rFonts w:ascii="Times New Roman" w:eastAsia="Times New Roman" w:hAnsi="Times New Roman" w:cs="Times New Roman"/>
          <w:sz w:val="20"/>
          <w:szCs w:val="20"/>
          <w:lang w:eastAsia="uk-UA"/>
        </w:rPr>
        <w:t>.</w:t>
      </w:r>
      <w:r>
        <w:rPr>
          <w:rFonts w:ascii="Times New Roman" w:eastAsia="Times New Roman" w:hAnsi="Times New Roman" w:cs="Times New Roman"/>
          <w:sz w:val="20"/>
          <w:szCs w:val="20"/>
          <w:lang w:val="en-US" w:eastAsia="uk-UA"/>
        </w:rPr>
        <w:t>V</w:t>
      </w:r>
      <w:r>
        <w:rPr>
          <w:rFonts w:ascii="Times New Roman" w:eastAsia="Times New Roman" w:hAnsi="Times New Roman" w:cs="Times New Roman"/>
          <w:sz w:val="20"/>
          <w:szCs w:val="20"/>
          <w:lang w:eastAsia="uk-UA"/>
        </w:rPr>
        <w:t xml:space="preserve">. - провідний світовий постачальник аналітичних даних про споживчу поведінку і купівельні звички. Більш детальну інформацію можна отримати на сайті </w:t>
      </w:r>
      <w:r>
        <w:rPr>
          <w:rFonts w:ascii="Times New Roman" w:eastAsia="Times New Roman" w:hAnsi="Times New Roman" w:cs="Times New Roman"/>
          <w:sz w:val="20"/>
          <w:szCs w:val="20"/>
          <w:lang w:val="en-US" w:eastAsia="uk-UA"/>
        </w:rPr>
        <w:t>www</w:t>
      </w:r>
      <w:r>
        <w:rPr>
          <w:rFonts w:ascii="Times New Roman" w:eastAsia="Times New Roman" w:hAnsi="Times New Roman" w:cs="Times New Roman"/>
          <w:sz w:val="20"/>
          <w:szCs w:val="20"/>
          <w:lang w:eastAsia="uk-UA"/>
        </w:rPr>
        <w:t>.</w:t>
      </w:r>
      <w:r>
        <w:rPr>
          <w:rFonts w:ascii="Times New Roman" w:eastAsia="Times New Roman" w:hAnsi="Times New Roman" w:cs="Times New Roman"/>
          <w:sz w:val="20"/>
          <w:szCs w:val="20"/>
          <w:lang w:val="en-US" w:eastAsia="uk-UA"/>
        </w:rPr>
        <w:t>nielsen</w:t>
      </w:r>
      <w:r>
        <w:rPr>
          <w:rFonts w:ascii="Times New Roman" w:eastAsia="Times New Roman" w:hAnsi="Times New Roman" w:cs="Times New Roman"/>
          <w:sz w:val="20"/>
          <w:szCs w:val="20"/>
          <w:lang w:eastAsia="uk-UA"/>
        </w:rPr>
        <w:t>.</w:t>
      </w:r>
      <w:r>
        <w:rPr>
          <w:rFonts w:ascii="Times New Roman" w:eastAsia="Times New Roman" w:hAnsi="Times New Roman" w:cs="Times New Roman"/>
          <w:sz w:val="20"/>
          <w:szCs w:val="20"/>
          <w:lang w:val="en-US" w:eastAsia="uk-UA"/>
        </w:rPr>
        <w:t>com</w:t>
      </w:r>
      <w:r>
        <w:rPr>
          <w:rFonts w:ascii="Times New Roman" w:eastAsia="Times New Roman" w:hAnsi="Times New Roman" w:cs="Times New Roman"/>
          <w:sz w:val="20"/>
          <w:szCs w:val="20"/>
          <w:lang w:eastAsia="uk-UA"/>
        </w:rPr>
        <w:t xml:space="preserve">). Сидр </w:t>
      </w:r>
      <w:r>
        <w:rPr>
          <w:rFonts w:ascii="Times New Roman" w:eastAsia="Times New Roman" w:hAnsi="Times New Roman" w:cs="Times New Roman"/>
          <w:sz w:val="20"/>
          <w:szCs w:val="20"/>
          <w:lang w:val="en-US" w:eastAsia="uk-UA"/>
        </w:rPr>
        <w:t>Somersby</w:t>
      </w:r>
      <w:r>
        <w:rPr>
          <w:rFonts w:ascii="Times New Roman" w:eastAsia="Times New Roman" w:hAnsi="Times New Roman" w:cs="Times New Roman"/>
          <w:sz w:val="20"/>
          <w:szCs w:val="20"/>
          <w:lang w:eastAsia="uk-UA"/>
        </w:rPr>
        <w:t xml:space="preserve">, «Квас Тарас» та </w:t>
      </w:r>
      <w:r>
        <w:rPr>
          <w:rFonts w:ascii="Times New Roman" w:eastAsia="Times New Roman" w:hAnsi="Times New Roman" w:cs="Times New Roman"/>
          <w:sz w:val="20"/>
          <w:szCs w:val="20"/>
          <w:lang w:val="en-US" w:eastAsia="uk-UA"/>
        </w:rPr>
        <w:t>Baltika</w:t>
      </w:r>
      <w:r>
        <w:rPr>
          <w:rFonts w:ascii="Times New Roman" w:eastAsia="Times New Roman" w:hAnsi="Times New Roman" w:cs="Times New Roman"/>
          <w:sz w:val="20"/>
          <w:szCs w:val="20"/>
          <w:lang w:eastAsia="uk-UA"/>
        </w:rPr>
        <w:t xml:space="preserve"> 0 продовжують займати лідерські позиції в своїх продуктових категоріях, а бренд «Львівське» вперше в історії офіційно став №1 серед пивних брендів в Україні.</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На лідируючі позиції на ринку України Компанія вийшла з 2016 року, але здобути право першості вдалось тільки за підсумками 2018 року - як в натуральному, так і в вартісному вираженні. Компанія орієнтується на динамічно мінливий попит споживача і основні ринкові тренди, виступаючи провідним іноватором в галузі і вибудовуючи портфель основних пивних брендів та крафту, а також активно формуючи і розвиваючи напрямок безалкогольного пива і напоїв.</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Як складова частина Групи компаній </w:t>
      </w:r>
      <w:r>
        <w:rPr>
          <w:rFonts w:ascii="Times New Roman" w:eastAsia="Times New Roman" w:hAnsi="Times New Roman" w:cs="Times New Roman"/>
          <w:sz w:val="20"/>
          <w:szCs w:val="20"/>
          <w:lang w:val="en-US" w:eastAsia="uk-UA"/>
        </w:rPr>
        <w:t>Carlsberg</w:t>
      </w:r>
      <w:r>
        <w:rPr>
          <w:rFonts w:ascii="Times New Roman" w:eastAsia="Times New Roman" w:hAnsi="Times New Roman" w:cs="Times New Roman"/>
          <w:sz w:val="20"/>
          <w:szCs w:val="20"/>
          <w:lang w:eastAsia="uk-UA"/>
        </w:rPr>
        <w:t xml:space="preserve">, яка має заводи більше ніж в 35 країнах світу, ПрАТ "Карлсберг Україна" прагне вносити значний вклад в економічний розвиток суспільства. Діяльність Компанії створює робочі місця, підтримує економічне зростання та генерує надходження в бюджет за рахунок акцизу та інших податків та зборів. Компанія і в подальшому планує вести прибуткову діяльність, що забезпечить реалізацію стратегії Компанії. Компанія прагне вносити вклад в життя суспільства на локальному рівні, підтримуючи соціальні ініціативи в регіонах своєї присутності. </w:t>
      </w: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   Інформація про укладення деривативів або вчинення правочинів щодо похідних цінних паперів.</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Протягом звітного періоду Товариство не укладало деривативів і не вчиняло інших правочинів щодо похідних цінних паперів. Цей факт не має жодного впливу на оцінку активів емітента, його зобов'язань, фінансового стану, доходів або витрат. </w:t>
      </w: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   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У зв'язку з непередбачуван</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стю ф</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нансового ринку України загальна програма управл</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нського персоналу щодо управл</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ння ф</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нансовими ризиками зосереджена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спрямована на зменшення їх потенц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йного негативного впливу на ф</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нансовий стан Товариства. Операц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ї хеджування Товариством у зв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тному пер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од</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не проводились.</w:t>
      </w: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   Інформація про схильність емітента до цінових ризиків, кредитного ризику, ризику ліквідності та/або ризику грошових потоків.</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Ем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тент, як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будь-яке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нше п</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дприємство, в сучасних умовах економ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чного розвитку країни, з урахуванням темп</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в </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нфляц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ї та 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вня конкуренц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ї в окремих сегментах ф</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нансового ринку, в незначній м</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р</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є схильним до ц</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нових ризик</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 кредитного ризику, ризику л</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кв</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дност</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 xml:space="preserve"> та/або ризику грошових поток</w:t>
      </w:r>
      <w:r>
        <w:rPr>
          <w:rFonts w:ascii="Times New Roman" w:eastAsia="Times New Roman" w:hAnsi="Times New Roman" w:cs="Times New Roman"/>
          <w:sz w:val="20"/>
          <w:szCs w:val="20"/>
          <w:lang w:val="en-US" w:eastAsia="uk-UA"/>
        </w:rPr>
        <w:t>i</w:t>
      </w:r>
      <w:r>
        <w:rPr>
          <w:rFonts w:ascii="Times New Roman" w:eastAsia="Times New Roman" w:hAnsi="Times New Roman" w:cs="Times New Roman"/>
          <w:sz w:val="20"/>
          <w:szCs w:val="20"/>
          <w:lang w:eastAsia="uk-UA"/>
        </w:rPr>
        <w:t>в.</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Основні фінансові інструменти підприємства, які несуть в собі фінансові ризики, включають грошові кошти, дебіторську заборгованість, кредиторську заборгованість, та піддаються наступним фінансовим ризикам:</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 ринковий ризик: Зміни на ринку можуть вплинути на розмір активів чи зобов'язань підприємства. Ринковий ризик складається з ризику процентної ставки і цінового ризику; </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 ризик втрати ліквідності: Товариство не має дефіциту обігових коштів для виконання своїх зобов'язань; </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 кредитний ризик: Товариство може зазнати збитків у разі невиконання фінансових зобов'язань контрагентами (дебіторами). </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Ринковий ризик. </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Всі фінансові інструменти схильні до ринкового ризику - ризику того, що майбутні ринкові умови можуть знецінити інструмент. Підприємство піддається валютному ризику за умови, якщо здійснює валютні операції і має валютні залишки та заборгованості. Ціновим ризиком є ризик того, що вартість фінансового інструмента буде змінюватися внаслідок змін ринкових цін. Ці зміни можуть бути викликані факторами, характерними для окремого інструменту або факторами, які впливають на всі інструменти ринку. Товариство має процентні фінансові зобов'язання, тому в незначній мірі піддається ризику коливання процентних ставок. </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Ризик втрати ліквідності. </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Товариство періодично проводить моніторинг показників ліквідності та вживає заходів, для запобігання зниження встановлених показників ліквідності. Підприємство здійснює контроль ліквідності шляхом планування поточної </w:t>
      </w:r>
      <w:r>
        <w:rPr>
          <w:rFonts w:ascii="Times New Roman" w:eastAsia="Times New Roman" w:hAnsi="Times New Roman" w:cs="Times New Roman"/>
          <w:sz w:val="20"/>
          <w:szCs w:val="20"/>
          <w:lang w:eastAsia="uk-UA"/>
        </w:rPr>
        <w:lastRenderedPageBreak/>
        <w:t xml:space="preserve">ліквідності. Підприємство аналізує терміни платежів, які пов'язані з дебіторською заборгованістю та іншими фінансовими активами, а також прогнозує потоки грошових коштів від операційної діяльності. </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Кредитний ризик. </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Підприємство в незначній мірі схильне до кредитного ризику, який виражається як ризик того, що контрагент - дебітор не буде здатний в повному обсязі і в певний час погасити свої зобов'язання. Кредитний ризик регулярно контролюється. Управління кредитним ризиком здійснюється, в основному, за допомогою аналізу здатності контрагента сплатити заборгованість. Підприємство укладає угоди з відомими та фінансово стабільними сторонами. Кредитний ризик стосується дебіторської заборгованості. Дебіторська заборгованість регулярно перевіряється на існування ознак знецінення, за небхідності створюються резерви під знецінення дебіторської заборгованості. </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   Крім зазначених вище, суттєвий вплив на діяльність Товариства можуть мати такі зовнішні ризики, як нестабільність та суперечливість законодавства, непередбачені дії державних органів, нестабільність економічної (фінансової, податкової, зовнішньоекономічної та ін.) політики, непередбачена зміна кон'юнктури внутрішнього і зовнішнього ринку, непередбачені дії конкурентів.</w:t>
      </w:r>
    </w:p>
    <w:p>
      <w:pPr>
        <w:spacing w:after="0" w:line="240" w:lineRule="auto"/>
        <w:rPr>
          <w:rFonts w:ascii="Times New Roman" w:eastAsia="Times New Roman" w:hAnsi="Times New Roman" w:cs="Times New Roman"/>
          <w:sz w:val="20"/>
          <w:szCs w:val="20"/>
          <w:lang w:eastAsia="uk-UA"/>
        </w:rPr>
      </w:pP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   Важливі події, що відбулися упродовж звітного періоду.</w:t>
      </w:r>
    </w:p>
    <w:p>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Суттєвих подій, які б мали чи могли мати вплив на проміжну звітність емітента, протягом звітного періоду не було.</w:t>
      </w:r>
    </w:p>
    <w:p/>
    <w:sectPr>
      <w:pgSz w:w="11906" w:h="16838"/>
      <w:pgMar w:top="363" w:right="567" w:bottom="363"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F48BD1-E4EF-436D-BF37-DDF305FE6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19</Pages>
  <Words>8019</Words>
  <Characters>45710</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Поляцкая Алена Александровна</dc:creator>
  <cp:keywords/>
  <dc:description/>
  <cp:lastModifiedBy>Поляцкая Алена Александровна</cp:lastModifiedBy>
  <cp:revision>4</cp:revision>
  <dcterms:created xsi:type="dcterms:W3CDTF">2022-01-27T09:22:00Z</dcterms:created>
  <dcterms:modified xsi:type="dcterms:W3CDTF">2022-01-27T12:06:00Z</dcterms:modified>
</cp:coreProperties>
</file>